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AF12" w14:textId="77777777" w:rsidR="009E13D2" w:rsidRPr="004E3D68" w:rsidRDefault="009E13D2" w:rsidP="00F62EF3">
      <w:pPr>
        <w:pStyle w:val="Cmsor1"/>
        <w:jc w:val="both"/>
        <w:rPr>
          <w:rStyle w:val="Kiemels2"/>
          <w:color w:val="auto"/>
          <w:kern w:val="1"/>
          <w:sz w:val="23"/>
          <w:szCs w:val="23"/>
          <w:lang w:val="hu-HU"/>
        </w:rPr>
      </w:pPr>
    </w:p>
    <w:p w14:paraId="2B892453" w14:textId="77777777" w:rsidR="009E13D2" w:rsidRPr="004E3D68" w:rsidRDefault="009E13D2" w:rsidP="00F62EF3">
      <w:pPr>
        <w:pStyle w:val="Cmsor1"/>
        <w:jc w:val="both"/>
        <w:rPr>
          <w:rStyle w:val="Kiemels2"/>
          <w:color w:val="auto"/>
          <w:kern w:val="1"/>
          <w:sz w:val="23"/>
          <w:szCs w:val="23"/>
          <w:lang w:val="hu-HU"/>
        </w:rPr>
      </w:pPr>
    </w:p>
    <w:p w14:paraId="47435573" w14:textId="77777777" w:rsidR="009E13D2" w:rsidRPr="004E3D68" w:rsidRDefault="009E13D2" w:rsidP="00F62EF3">
      <w:pPr>
        <w:pStyle w:val="Cmsor1"/>
        <w:jc w:val="both"/>
        <w:rPr>
          <w:rStyle w:val="Kiemels2"/>
          <w:color w:val="auto"/>
          <w:kern w:val="1"/>
          <w:sz w:val="23"/>
          <w:szCs w:val="23"/>
          <w:lang w:val="hu-HU"/>
        </w:rPr>
      </w:pPr>
    </w:p>
    <w:p w14:paraId="7D31F9AF" w14:textId="77777777" w:rsidR="009E13D2" w:rsidRPr="004E3D68" w:rsidRDefault="009E13D2" w:rsidP="00F62EF3">
      <w:pPr>
        <w:pStyle w:val="Cmsor1"/>
        <w:jc w:val="both"/>
        <w:rPr>
          <w:rStyle w:val="Kiemels2"/>
          <w:color w:val="auto"/>
          <w:kern w:val="1"/>
          <w:sz w:val="23"/>
          <w:szCs w:val="23"/>
          <w:lang w:val="hu-HU"/>
        </w:rPr>
      </w:pPr>
    </w:p>
    <w:p w14:paraId="0144B7C6" w14:textId="77777777" w:rsidR="009E13D2" w:rsidRPr="004E3D68" w:rsidRDefault="009E13D2" w:rsidP="00F62EF3">
      <w:pPr>
        <w:pStyle w:val="Cmsor1"/>
        <w:jc w:val="both"/>
        <w:rPr>
          <w:rStyle w:val="Kiemels2"/>
          <w:color w:val="auto"/>
          <w:kern w:val="1"/>
          <w:sz w:val="23"/>
          <w:szCs w:val="23"/>
          <w:lang w:val="hu-HU"/>
        </w:rPr>
      </w:pPr>
    </w:p>
    <w:p w14:paraId="444ACA85" w14:textId="77777777" w:rsidR="009E13D2" w:rsidRPr="004E3D68" w:rsidRDefault="009E13D2" w:rsidP="00F62EF3">
      <w:pPr>
        <w:pStyle w:val="Cmsor1"/>
        <w:jc w:val="both"/>
        <w:rPr>
          <w:rStyle w:val="Kiemels2"/>
          <w:color w:val="auto"/>
          <w:kern w:val="1"/>
          <w:sz w:val="23"/>
          <w:szCs w:val="23"/>
          <w:lang w:val="hu-HU"/>
        </w:rPr>
      </w:pPr>
    </w:p>
    <w:p w14:paraId="044834E0" w14:textId="77777777" w:rsidR="009E13D2" w:rsidRPr="004E3D68" w:rsidRDefault="009E13D2" w:rsidP="00F62EF3">
      <w:pPr>
        <w:pStyle w:val="Cmsor1"/>
        <w:ind w:left="7140" w:firstLine="420"/>
        <w:jc w:val="both"/>
        <w:rPr>
          <w:b w:val="0"/>
          <w:bCs w:val="0"/>
          <w:color w:val="A6A6A6"/>
          <w:sz w:val="18"/>
          <w:szCs w:val="18"/>
          <w:lang w:val="hu-HU"/>
        </w:rPr>
      </w:pPr>
    </w:p>
    <w:p w14:paraId="73249BFD" w14:textId="5E3C7085" w:rsidR="004E3D68" w:rsidRPr="004E3D68" w:rsidRDefault="00631EFC" w:rsidP="004E3D68">
      <w:pPr>
        <w:pStyle w:val="Cmsor1"/>
        <w:ind w:left="7560" w:firstLine="420"/>
        <w:jc w:val="both"/>
        <w:rPr>
          <w:b w:val="0"/>
          <w:bCs w:val="0"/>
          <w:color w:val="262626" w:themeColor="text1" w:themeTint="D9"/>
          <w:lang w:val="hu-HU"/>
        </w:rPr>
      </w:pPr>
      <w:r w:rsidRPr="004E3D68">
        <w:rPr>
          <w:b w:val="0"/>
          <w:bCs w:val="0"/>
          <w:color w:val="A6A6A6"/>
          <w:sz w:val="18"/>
          <w:szCs w:val="18"/>
          <w:lang w:val="hu-HU"/>
        </w:rPr>
        <w:t xml:space="preserve">  </w:t>
      </w:r>
    </w:p>
    <w:p w14:paraId="0919B951" w14:textId="77777777" w:rsidR="004E3D68" w:rsidRPr="004E3D68" w:rsidRDefault="004E3D68" w:rsidP="004E3D68">
      <w:pPr>
        <w:jc w:val="center"/>
        <w:rPr>
          <w:b/>
          <w:bCs/>
          <w:color w:val="262626" w:themeColor="text1" w:themeTint="D9"/>
          <w:lang w:val="hu-HU"/>
        </w:rPr>
      </w:pPr>
      <w:r w:rsidRPr="004E3D68">
        <w:rPr>
          <w:b/>
          <w:bCs/>
          <w:color w:val="262626" w:themeColor="text1" w:themeTint="D9"/>
          <w:lang w:val="hu-HU"/>
        </w:rPr>
        <w:t>Sajtótájékoztató – Éves beszámoló</w:t>
      </w:r>
    </w:p>
    <w:p w14:paraId="3AE6FE57" w14:textId="77777777" w:rsidR="004E3D68" w:rsidRPr="004E3D68" w:rsidRDefault="004E3D68" w:rsidP="004E3D68">
      <w:pPr>
        <w:jc w:val="center"/>
        <w:rPr>
          <w:b/>
          <w:bCs/>
          <w:color w:val="262626" w:themeColor="text1" w:themeTint="D9"/>
          <w:lang w:val="hu-HU"/>
        </w:rPr>
      </w:pPr>
      <w:r w:rsidRPr="004E3D68">
        <w:rPr>
          <w:b/>
          <w:bCs/>
          <w:color w:val="262626" w:themeColor="text1" w:themeTint="D9"/>
          <w:lang w:val="hu-HU"/>
        </w:rPr>
        <w:t>Antal Lóránt szenátori iroda</w:t>
      </w:r>
    </w:p>
    <w:p w14:paraId="4AB825FF" w14:textId="77777777" w:rsidR="004E3D68" w:rsidRPr="004E3D68" w:rsidRDefault="004E3D68" w:rsidP="004E3D68">
      <w:pPr>
        <w:jc w:val="both"/>
        <w:rPr>
          <w:color w:val="262626" w:themeColor="text1" w:themeTint="D9"/>
          <w:lang w:val="hu-HU"/>
        </w:rPr>
      </w:pPr>
    </w:p>
    <w:p w14:paraId="1596920A" w14:textId="43EC15FF" w:rsidR="004E3D68" w:rsidRPr="004E3D68" w:rsidRDefault="004E3D68" w:rsidP="004E3D68">
      <w:pPr>
        <w:jc w:val="both"/>
        <w:rPr>
          <w:color w:val="262626" w:themeColor="text1" w:themeTint="D9"/>
          <w:lang w:val="hu-HU"/>
        </w:rPr>
      </w:pPr>
      <w:r w:rsidRPr="004E3D68">
        <w:rPr>
          <w:color w:val="262626" w:themeColor="text1" w:themeTint="D9"/>
          <w:lang w:val="hu-HU"/>
        </w:rPr>
        <w:t>A 2020-as parlamenti választások óta eltelt év során rengeteg változás történt a bukaresti törvénykezésben: az RMDSZ kormányzati szerepet tölt be, ezt a poz</w:t>
      </w:r>
      <w:r>
        <w:rPr>
          <w:color w:val="262626" w:themeColor="text1" w:themeTint="D9"/>
          <w:lang w:val="hu-HU"/>
        </w:rPr>
        <w:t>í</w:t>
      </w:r>
      <w:r w:rsidRPr="004E3D68">
        <w:rPr>
          <w:color w:val="262626" w:themeColor="text1" w:themeTint="D9"/>
          <w:lang w:val="hu-HU"/>
        </w:rPr>
        <w:t>c</w:t>
      </w:r>
      <w:r>
        <w:rPr>
          <w:color w:val="262626" w:themeColor="text1" w:themeTint="D9"/>
          <w:lang w:val="hu-HU"/>
        </w:rPr>
        <w:t>i</w:t>
      </w:r>
      <w:r w:rsidRPr="004E3D68">
        <w:rPr>
          <w:color w:val="262626" w:themeColor="text1" w:themeTint="D9"/>
          <w:lang w:val="hu-HU"/>
        </w:rPr>
        <w:t xml:space="preserve">óját a politikai krízis és a kormánybukás után is sikerült megtartania. </w:t>
      </w:r>
    </w:p>
    <w:p w14:paraId="4C6D3A69" w14:textId="77777777" w:rsidR="004E3D68" w:rsidRPr="004E3D68" w:rsidRDefault="004E3D68" w:rsidP="004E3D68">
      <w:pPr>
        <w:jc w:val="both"/>
        <w:rPr>
          <w:color w:val="262626" w:themeColor="text1" w:themeTint="D9"/>
          <w:lang w:val="hu-HU"/>
        </w:rPr>
      </w:pPr>
      <w:r w:rsidRPr="004E3D68">
        <w:rPr>
          <w:color w:val="262626" w:themeColor="text1" w:themeTint="D9"/>
          <w:lang w:val="hu-HU"/>
        </w:rPr>
        <w:t xml:space="preserve">A szavazók újabb mandátummal bíztak meg, szenátorként a Gazdasági, Ipari és Szolgáltatási Bizottságban képviselhetem a szövetséget, mindemellett az Energiaügyi, Energetikai Infrastruktúra és Ásványi Erőforrások Bizottságának az elnöki tisztségével bíztak meg. </w:t>
      </w:r>
    </w:p>
    <w:p w14:paraId="1566B181" w14:textId="77777777" w:rsidR="004E3D68" w:rsidRPr="004E3D68" w:rsidRDefault="004E3D68" w:rsidP="004E3D68">
      <w:pPr>
        <w:jc w:val="both"/>
        <w:rPr>
          <w:color w:val="262626" w:themeColor="text1" w:themeTint="D9"/>
          <w:lang w:val="hu-HU"/>
        </w:rPr>
      </w:pPr>
    </w:p>
    <w:p w14:paraId="1FB44FCC" w14:textId="77777777" w:rsidR="004E3D68" w:rsidRPr="004E3D68" w:rsidRDefault="004E3D68" w:rsidP="004E3D68">
      <w:pPr>
        <w:jc w:val="both"/>
        <w:rPr>
          <w:b/>
          <w:bCs/>
          <w:color w:val="262626" w:themeColor="text1" w:themeTint="D9"/>
          <w:lang w:val="hu-HU"/>
        </w:rPr>
      </w:pPr>
      <w:r w:rsidRPr="004E3D68">
        <w:rPr>
          <w:b/>
          <w:bCs/>
          <w:color w:val="262626" w:themeColor="text1" w:themeTint="D9"/>
          <w:lang w:val="hu-HU"/>
        </w:rPr>
        <w:t>Parlamenti tevékenység</w:t>
      </w:r>
    </w:p>
    <w:p w14:paraId="636605D8" w14:textId="77777777" w:rsidR="004E3D68" w:rsidRPr="004E3D68" w:rsidRDefault="004E3D68" w:rsidP="004E3D68">
      <w:pPr>
        <w:jc w:val="both"/>
        <w:rPr>
          <w:color w:val="262626" w:themeColor="text1" w:themeTint="D9"/>
          <w:lang w:val="hu-HU"/>
        </w:rPr>
      </w:pPr>
      <w:r w:rsidRPr="004E3D68">
        <w:rPr>
          <w:color w:val="262626" w:themeColor="text1" w:themeTint="D9"/>
          <w:lang w:val="hu-HU"/>
        </w:rPr>
        <w:t>Gazdasági, Ipari és Szolgáltatások bizottság tagjaként 141 törvénykezdeményezést elemeztünk ki és tárgyaltunk a szakbizottságban, amire 46 jelentést és 88 véleményezést adtunk, illetve 68 európai dokumentumot érvényesítettünk szavazatunkkal.</w:t>
      </w:r>
    </w:p>
    <w:p w14:paraId="5BFB2D46" w14:textId="77777777" w:rsidR="004E3D68" w:rsidRPr="004E3D68" w:rsidRDefault="004E3D68" w:rsidP="004E3D68">
      <w:pPr>
        <w:jc w:val="both"/>
        <w:rPr>
          <w:color w:val="262626" w:themeColor="text1" w:themeTint="D9"/>
          <w:lang w:val="hu-HU"/>
        </w:rPr>
      </w:pPr>
    </w:p>
    <w:p w14:paraId="4E04AF4B" w14:textId="77777777" w:rsidR="004E3D68" w:rsidRPr="004E3D68" w:rsidRDefault="004E3D68" w:rsidP="004E3D68">
      <w:pPr>
        <w:jc w:val="both"/>
        <w:rPr>
          <w:color w:val="262626" w:themeColor="text1" w:themeTint="D9"/>
          <w:lang w:val="hu-HU"/>
        </w:rPr>
      </w:pPr>
      <w:r w:rsidRPr="004E3D68">
        <w:rPr>
          <w:color w:val="262626" w:themeColor="text1" w:themeTint="D9"/>
          <w:lang w:val="hu-HU"/>
        </w:rPr>
        <w:t xml:space="preserve">-Gazdasági bizottsági ülésen tárgyaltuk az családi vállalkozások (AF), egyéni vállalkozások (II) valamint engedélyezett magánszemélyek (PFA) helyzetét. </w:t>
      </w:r>
    </w:p>
    <w:p w14:paraId="24C5BA6C" w14:textId="77777777" w:rsidR="004E3D68" w:rsidRPr="004E3D68" w:rsidRDefault="004E3D68" w:rsidP="004E3D68">
      <w:pPr>
        <w:jc w:val="both"/>
        <w:rPr>
          <w:color w:val="262626" w:themeColor="text1" w:themeTint="D9"/>
          <w:lang w:val="hu-HU"/>
        </w:rPr>
      </w:pPr>
      <w:r w:rsidRPr="004E3D68">
        <w:rPr>
          <w:color w:val="262626" w:themeColor="text1" w:themeTint="D9"/>
          <w:lang w:val="hu-HU"/>
        </w:rPr>
        <w:t xml:space="preserve">A napirendi pont központi témája az engedélyezett magánszemélyek szakmai régiségének kérdésköre volt, hiszen jelen pillanatban csak abban az esetben veszik figyelemben a ledolgozott éveiket ezen személyeknek, amennyiben alkalmazzák magukat, abban a formában kétszeres adót kötelesek fizetni. </w:t>
      </w:r>
    </w:p>
    <w:p w14:paraId="508D8378" w14:textId="77777777" w:rsidR="004E3D68" w:rsidRPr="004E3D68" w:rsidRDefault="004E3D68" w:rsidP="004E3D68">
      <w:pPr>
        <w:jc w:val="both"/>
        <w:rPr>
          <w:color w:val="262626" w:themeColor="text1" w:themeTint="D9"/>
          <w:lang w:val="hu-HU"/>
        </w:rPr>
      </w:pPr>
      <w:r w:rsidRPr="004E3D68">
        <w:rPr>
          <w:color w:val="262626" w:themeColor="text1" w:themeTint="D9"/>
          <w:lang w:val="hu-HU"/>
        </w:rPr>
        <w:t xml:space="preserve">A módosító javaslat alapján viszont az elkövetkezőkben, amennyiben aktív a bejegyzett „PFA”, értsük ez alatt, hogy folyamatos tevékenységet folytat, számláz és így adót fizet, a ledolgozott időszaka szakmai régiségként lenne elszámolható. </w:t>
      </w:r>
    </w:p>
    <w:p w14:paraId="5FF9824F" w14:textId="5314ADBA" w:rsidR="004E3D68" w:rsidRPr="004E3D68" w:rsidRDefault="004E3D68" w:rsidP="004E3D68">
      <w:pPr>
        <w:jc w:val="both"/>
        <w:rPr>
          <w:color w:val="262626" w:themeColor="text1" w:themeTint="D9"/>
          <w:lang w:val="hu-HU"/>
        </w:rPr>
      </w:pPr>
      <w:r w:rsidRPr="004E3D68">
        <w:rPr>
          <w:color w:val="262626" w:themeColor="text1" w:themeTint="D9"/>
          <w:lang w:val="hu-HU"/>
        </w:rPr>
        <w:t>Magától értetődő, hogy az ily módon szerzett szakmai régiség nem váltja fel a szakdiplomát, viszont nagyon sok esetben a szakirányú végzettséggel rendelkezők, kik magánvállalkozóként működtek évekig, nem tudták biz</w:t>
      </w:r>
      <w:r>
        <w:rPr>
          <w:color w:val="262626" w:themeColor="text1" w:themeTint="D9"/>
          <w:lang w:val="hu-HU"/>
        </w:rPr>
        <w:t>o</w:t>
      </w:r>
      <w:r w:rsidRPr="004E3D68">
        <w:rPr>
          <w:color w:val="262626" w:themeColor="text1" w:themeTint="D9"/>
          <w:lang w:val="hu-HU"/>
        </w:rPr>
        <w:t xml:space="preserve">nyítani azt, ezért hátránnyal indultak a munkaerő piacon. </w:t>
      </w:r>
    </w:p>
    <w:p w14:paraId="02090A3D" w14:textId="77777777" w:rsidR="004E3D68" w:rsidRPr="004E3D68" w:rsidRDefault="004E3D68" w:rsidP="004E3D68">
      <w:pPr>
        <w:jc w:val="both"/>
        <w:rPr>
          <w:color w:val="262626" w:themeColor="text1" w:themeTint="D9"/>
          <w:lang w:val="hu-HU"/>
        </w:rPr>
      </w:pPr>
      <w:r w:rsidRPr="004E3D68">
        <w:rPr>
          <w:color w:val="262626" w:themeColor="text1" w:themeTint="D9"/>
          <w:lang w:val="hu-HU"/>
        </w:rPr>
        <w:t>2021-ben, Romániában, ahol a gazdaság fellendítése, az illegális munka felszámolása kellene a szempont legyen, fontos, hogy olyan törvénytervezeteket dolgozzunk ki, amelyek nem ellehetetlenítik, hanem támogatják és buzdítják a magánvállalkozásokat. Ez a cikkely is ezt a célt szolgálná.</w:t>
      </w:r>
    </w:p>
    <w:p w14:paraId="2FDA6B1A" w14:textId="77777777" w:rsidR="004E3D68" w:rsidRPr="004E3D68" w:rsidRDefault="004E3D68" w:rsidP="004E3D68">
      <w:pPr>
        <w:jc w:val="both"/>
        <w:rPr>
          <w:color w:val="262626" w:themeColor="text1" w:themeTint="D9"/>
          <w:lang w:val="hu-HU"/>
        </w:rPr>
      </w:pPr>
    </w:p>
    <w:p w14:paraId="694B8CFA" w14:textId="77777777" w:rsidR="004E3D68" w:rsidRPr="004E3D68" w:rsidRDefault="004E3D68" w:rsidP="004E3D68">
      <w:pPr>
        <w:jc w:val="both"/>
        <w:rPr>
          <w:b/>
          <w:bCs/>
          <w:color w:val="262626" w:themeColor="text1" w:themeTint="D9"/>
          <w:lang w:val="hu-HU"/>
        </w:rPr>
      </w:pPr>
    </w:p>
    <w:p w14:paraId="126C3D12" w14:textId="77777777" w:rsidR="004E3D68" w:rsidRPr="004E3D68" w:rsidRDefault="004E3D68" w:rsidP="004E3D68">
      <w:pPr>
        <w:jc w:val="both"/>
        <w:rPr>
          <w:b/>
          <w:bCs/>
          <w:color w:val="262626" w:themeColor="text1" w:themeTint="D9"/>
          <w:lang w:val="hu-HU"/>
        </w:rPr>
      </w:pPr>
      <w:r w:rsidRPr="004E3D68">
        <w:rPr>
          <w:b/>
          <w:bCs/>
          <w:color w:val="262626" w:themeColor="text1" w:themeTint="D9"/>
          <w:lang w:val="hu-HU"/>
        </w:rPr>
        <w:t>Fontosabb törvénykezések:</w:t>
      </w:r>
    </w:p>
    <w:p w14:paraId="5D6FA4BE" w14:textId="77777777" w:rsidR="004E3D68" w:rsidRPr="004E3D68" w:rsidRDefault="004E3D68" w:rsidP="004E3D68">
      <w:pPr>
        <w:jc w:val="both"/>
        <w:rPr>
          <w:color w:val="262626" w:themeColor="text1" w:themeTint="D9"/>
          <w:lang w:val="hu-HU"/>
        </w:rPr>
      </w:pPr>
    </w:p>
    <w:p w14:paraId="62E588A3" w14:textId="77777777" w:rsidR="004E3D68" w:rsidRDefault="004E3D68" w:rsidP="004E3D68">
      <w:pPr>
        <w:jc w:val="both"/>
        <w:rPr>
          <w:color w:val="262626" w:themeColor="text1" w:themeTint="D9"/>
          <w:lang w:val="hu-HU"/>
        </w:rPr>
      </w:pPr>
      <w:r w:rsidRPr="004E3D68">
        <w:rPr>
          <w:color w:val="262626" w:themeColor="text1" w:themeTint="D9"/>
          <w:lang w:val="hu-HU"/>
        </w:rPr>
        <w:t>-</w:t>
      </w:r>
      <w:r w:rsidRPr="004E3D68">
        <w:rPr>
          <w:color w:val="262626" w:themeColor="text1" w:themeTint="D9"/>
          <w:lang w:val="hu-HU"/>
        </w:rPr>
        <w:tab/>
        <w:t xml:space="preserve">Életbe lépett a hitelintézmények szabályozása. Nagy népszerűségnek örvendenek azok a nem banki hitelintézmények, melyek könnyű eljárású, gyors hiteleket biztosítanak, egyszerű ügyintézéssel és alacsony kamattal reklámozva magukat, nem pontosan tisztázva, hogy esetleges visszafizetési késések és más módosult körülmények között olyan, akár napi büntetőkamatot számolnak fel, ami megtízszerezi, sőt akár </w:t>
      </w:r>
      <w:proofErr w:type="spellStart"/>
      <w:r w:rsidRPr="004E3D68">
        <w:rPr>
          <w:color w:val="262626" w:themeColor="text1" w:themeTint="D9"/>
          <w:lang w:val="hu-HU"/>
        </w:rPr>
        <w:t>százszorozza</w:t>
      </w:r>
      <w:proofErr w:type="spellEnd"/>
      <w:r w:rsidRPr="004E3D68">
        <w:rPr>
          <w:color w:val="262626" w:themeColor="text1" w:themeTint="D9"/>
          <w:lang w:val="hu-HU"/>
        </w:rPr>
        <w:t xml:space="preserve"> eredeti adósság összegét, így ellehetetleníti a hitelezett felet. Az általunk kezdeményezett jogalkotási javaslat értelmében </w:t>
      </w:r>
    </w:p>
    <w:p w14:paraId="16F3D908" w14:textId="77777777" w:rsidR="004E3D68" w:rsidRDefault="004E3D68" w:rsidP="004E3D68">
      <w:pPr>
        <w:jc w:val="both"/>
        <w:rPr>
          <w:color w:val="262626" w:themeColor="text1" w:themeTint="D9"/>
          <w:lang w:val="hu-HU"/>
        </w:rPr>
      </w:pPr>
    </w:p>
    <w:p w14:paraId="75B99075" w14:textId="77777777" w:rsidR="004E3D68" w:rsidRDefault="004E3D68" w:rsidP="004E3D68">
      <w:pPr>
        <w:jc w:val="both"/>
        <w:rPr>
          <w:color w:val="262626" w:themeColor="text1" w:themeTint="D9"/>
          <w:lang w:val="hu-HU"/>
        </w:rPr>
      </w:pPr>
    </w:p>
    <w:p w14:paraId="58ED8678" w14:textId="77777777" w:rsidR="004E3D68" w:rsidRDefault="004E3D68" w:rsidP="004E3D68">
      <w:pPr>
        <w:jc w:val="both"/>
        <w:rPr>
          <w:color w:val="262626" w:themeColor="text1" w:themeTint="D9"/>
          <w:lang w:val="hu-HU"/>
        </w:rPr>
      </w:pPr>
    </w:p>
    <w:p w14:paraId="32B3FB7A" w14:textId="77777777" w:rsidR="004E3D68" w:rsidRDefault="004E3D68" w:rsidP="004E3D68">
      <w:pPr>
        <w:jc w:val="both"/>
        <w:rPr>
          <w:color w:val="262626" w:themeColor="text1" w:themeTint="D9"/>
          <w:lang w:val="hu-HU"/>
        </w:rPr>
      </w:pPr>
    </w:p>
    <w:p w14:paraId="099D1D1B" w14:textId="77777777" w:rsidR="004E3D68" w:rsidRDefault="004E3D68" w:rsidP="004E3D68">
      <w:pPr>
        <w:jc w:val="both"/>
        <w:rPr>
          <w:color w:val="262626" w:themeColor="text1" w:themeTint="D9"/>
          <w:lang w:val="hu-HU"/>
        </w:rPr>
      </w:pPr>
    </w:p>
    <w:p w14:paraId="1818838B" w14:textId="77777777" w:rsidR="004E3D68" w:rsidRDefault="004E3D68" w:rsidP="004E3D68">
      <w:pPr>
        <w:jc w:val="both"/>
        <w:rPr>
          <w:color w:val="262626" w:themeColor="text1" w:themeTint="D9"/>
          <w:lang w:val="hu-HU"/>
        </w:rPr>
      </w:pPr>
    </w:p>
    <w:p w14:paraId="31A50507" w14:textId="77777777" w:rsidR="004E3D68" w:rsidRDefault="004E3D68" w:rsidP="004E3D68">
      <w:pPr>
        <w:jc w:val="both"/>
        <w:rPr>
          <w:color w:val="262626" w:themeColor="text1" w:themeTint="D9"/>
          <w:lang w:val="hu-HU"/>
        </w:rPr>
      </w:pPr>
    </w:p>
    <w:p w14:paraId="062FA313" w14:textId="77777777" w:rsidR="004E3D68" w:rsidRDefault="004E3D68" w:rsidP="004E3D68">
      <w:pPr>
        <w:jc w:val="both"/>
        <w:rPr>
          <w:color w:val="262626" w:themeColor="text1" w:themeTint="D9"/>
          <w:lang w:val="hu-HU"/>
        </w:rPr>
      </w:pPr>
    </w:p>
    <w:p w14:paraId="1F0FF89F" w14:textId="22BEA0E8" w:rsidR="004E3D68" w:rsidRPr="004E3D68" w:rsidRDefault="004E3D68" w:rsidP="004E3D68">
      <w:pPr>
        <w:jc w:val="both"/>
        <w:rPr>
          <w:color w:val="262626" w:themeColor="text1" w:themeTint="D9"/>
          <w:lang w:val="hu-HU"/>
        </w:rPr>
      </w:pPr>
      <w:proofErr w:type="spellStart"/>
      <w:r w:rsidRPr="004E3D68">
        <w:rPr>
          <w:color w:val="262626" w:themeColor="text1" w:themeTint="D9"/>
          <w:lang w:val="hu-HU"/>
        </w:rPr>
        <w:t>plafonizálnánk</w:t>
      </w:r>
      <w:proofErr w:type="spellEnd"/>
      <w:r w:rsidRPr="004E3D68">
        <w:rPr>
          <w:color w:val="262626" w:themeColor="text1" w:themeTint="D9"/>
          <w:lang w:val="hu-HU"/>
        </w:rPr>
        <w:t xml:space="preserve"> a kamatlábat, megszabva, hogy legtöbb az eredeti összeg dupláját igényelhetnék vissza a hitelezők, valamint a szerződés megkötésekor tartalmaznia kellene a szerződésnek a maximum összeget, mellyel a hitelezett köteles számolni. Ezúton megakadályoznánk azt is, hogy a végrehajtó szervek további kamatokat számoljanak fel az adósságokra, ami annyit tesz, hogy csak és kizárólag azt az összeget kérhetik a </w:t>
      </w:r>
      <w:proofErr w:type="spellStart"/>
      <w:r w:rsidRPr="004E3D68">
        <w:rPr>
          <w:color w:val="262626" w:themeColor="text1" w:themeTint="D9"/>
          <w:lang w:val="hu-HU"/>
        </w:rPr>
        <w:t>hitelezettől</w:t>
      </w:r>
      <w:proofErr w:type="spellEnd"/>
      <w:r w:rsidRPr="004E3D68">
        <w:rPr>
          <w:color w:val="262626" w:themeColor="text1" w:themeTint="D9"/>
          <w:lang w:val="hu-HU"/>
        </w:rPr>
        <w:t>, amennyivel az a végrehajtó megbízatásakor tartozott. Fontos, hogy ez az intézkedés a már meglévő hitelszerződésekre is érvényessé válna.</w:t>
      </w:r>
    </w:p>
    <w:p w14:paraId="42C1BF4F" w14:textId="77777777" w:rsidR="004E3D68" w:rsidRPr="004E3D68" w:rsidRDefault="004E3D68" w:rsidP="004E3D68">
      <w:pPr>
        <w:jc w:val="both"/>
        <w:rPr>
          <w:color w:val="262626" w:themeColor="text1" w:themeTint="D9"/>
          <w:lang w:val="hu-HU"/>
        </w:rPr>
      </w:pPr>
    </w:p>
    <w:p w14:paraId="1DD5017C" w14:textId="77777777" w:rsidR="004E3D68" w:rsidRPr="004E3D68" w:rsidRDefault="004E3D68" w:rsidP="004E3D68">
      <w:pPr>
        <w:jc w:val="both"/>
        <w:rPr>
          <w:color w:val="262626" w:themeColor="text1" w:themeTint="D9"/>
          <w:lang w:val="hu-HU"/>
        </w:rPr>
      </w:pPr>
    </w:p>
    <w:p w14:paraId="0FA6A5FA" w14:textId="77777777" w:rsidR="004E3D68" w:rsidRPr="004E3D68" w:rsidRDefault="004E3D68" w:rsidP="004E3D68">
      <w:pPr>
        <w:jc w:val="both"/>
        <w:rPr>
          <w:color w:val="262626" w:themeColor="text1" w:themeTint="D9"/>
          <w:lang w:val="hu-HU"/>
        </w:rPr>
      </w:pPr>
      <w:r w:rsidRPr="004E3D68">
        <w:rPr>
          <w:color w:val="262626" w:themeColor="text1" w:themeTint="D9"/>
          <w:lang w:val="hu-HU"/>
        </w:rPr>
        <w:t>-</w:t>
      </w:r>
      <w:r w:rsidRPr="004E3D68">
        <w:rPr>
          <w:color w:val="262626" w:themeColor="text1" w:themeTint="D9"/>
          <w:lang w:val="hu-HU"/>
        </w:rPr>
        <w:tab/>
        <w:t>159/2021</w:t>
      </w:r>
    </w:p>
    <w:p w14:paraId="073A1694" w14:textId="77777777" w:rsidR="004E3D68" w:rsidRPr="004E3D68" w:rsidRDefault="004E3D68" w:rsidP="004E3D68">
      <w:pPr>
        <w:jc w:val="both"/>
        <w:rPr>
          <w:b/>
          <w:bCs/>
          <w:color w:val="262626" w:themeColor="text1" w:themeTint="D9"/>
          <w:lang w:val="hu-HU"/>
        </w:rPr>
      </w:pPr>
      <w:r w:rsidRPr="004E3D68">
        <w:rPr>
          <w:b/>
          <w:bCs/>
          <w:color w:val="262626" w:themeColor="text1" w:themeTint="D9"/>
          <w:lang w:val="hu-HU"/>
        </w:rPr>
        <w:t>Kiszámíthatóbb támogatási rendszert biztosítunk ezentúl a civil szervezeteknek, azt követően, hogy a képviselőház döntéshozó fórumként szavazta meg az RMDSZ ez irányú törvényét.</w:t>
      </w:r>
    </w:p>
    <w:p w14:paraId="5A80EC6D" w14:textId="77777777" w:rsidR="004E3D68" w:rsidRPr="004E3D68" w:rsidRDefault="004E3D68" w:rsidP="004E3D68">
      <w:pPr>
        <w:jc w:val="both"/>
        <w:rPr>
          <w:color w:val="262626" w:themeColor="text1" w:themeTint="D9"/>
          <w:lang w:val="hu-HU"/>
        </w:rPr>
      </w:pPr>
      <w:r w:rsidRPr="004E3D68">
        <w:rPr>
          <w:color w:val="262626" w:themeColor="text1" w:themeTint="D9"/>
          <w:lang w:val="hu-HU"/>
        </w:rPr>
        <w:t xml:space="preserve">Ezidáig a magánszemélyek jövedelemadójuk 3,5 százalékát, a jogiszemélyek pedig az adóalapjuk 20 százalékát fordíthatták civil szervezetek támogatására. A gyakorlat azonban azt mutatta, hogy a jogi személyek esetében nagyon kevesen éltek ezzel a lehetőséggel. Az adótörvénykönyv módosítására főleg azért volt szükség, hogy egyértelműbb előírásokat fogalmazzanak meg azon cégek számára, akik támogatnák adóalapjukból a civil szervezeteket: korábban a cégek szponzoralapjukat, évközben kiszámíthatóság nélkül, óvatosan használták fel, olyan körülmények között, hogy a rákövetkező évben mérlegzáráskor lett egyértelmű az éves adó- és szponzoralapjuk. Az elfogadott törvény értelmében megteremtettük a lehetőséget a magánszemélyekhez hasonlóan, cégek számára is, hogy a végleges szponzoralap ismeretében 6 hónap alatt szabadon átirányíthassák az elmúlt éves összegeket egy vagy több civil szervezet számára”. Eddig a támogatást a cég évközben utalta az adott civil szervezetnek, ez a lehetőség kibővül, így az előző évben el nem használt összegek átirányítás által a rákövetkező évben is </w:t>
      </w:r>
      <w:proofErr w:type="spellStart"/>
      <w:r w:rsidRPr="004E3D68">
        <w:rPr>
          <w:color w:val="262626" w:themeColor="text1" w:themeTint="D9"/>
          <w:lang w:val="hu-HU"/>
        </w:rPr>
        <w:t>felhasználhatóak</w:t>
      </w:r>
      <w:proofErr w:type="spellEnd"/>
      <w:r w:rsidRPr="004E3D68">
        <w:rPr>
          <w:color w:val="262626" w:themeColor="text1" w:themeTint="D9"/>
          <w:lang w:val="hu-HU"/>
        </w:rPr>
        <w:t xml:space="preserve"> lesznek.</w:t>
      </w:r>
    </w:p>
    <w:p w14:paraId="1EFB0870" w14:textId="77777777" w:rsidR="004E3D68" w:rsidRPr="004E3D68" w:rsidRDefault="004E3D68" w:rsidP="004E3D68">
      <w:pPr>
        <w:jc w:val="both"/>
        <w:rPr>
          <w:color w:val="262626" w:themeColor="text1" w:themeTint="D9"/>
          <w:lang w:val="hu-HU"/>
        </w:rPr>
      </w:pPr>
      <w:r w:rsidRPr="004E3D68">
        <w:rPr>
          <w:color w:val="262626" w:themeColor="text1" w:themeTint="D9"/>
          <w:lang w:val="hu-HU"/>
        </w:rPr>
        <w:t>A módosítás értelmében könnyebben támogathatók mind az egyházaink, mind azon civil szervezeteink, amelyek kultúrával, oktatással, sporttal, művészetekkel, szociális ellátással vagy akár környezetvédelemmel foglalkoznak.</w:t>
      </w:r>
    </w:p>
    <w:p w14:paraId="1F7F6750" w14:textId="77777777" w:rsidR="004E3D68" w:rsidRPr="004E3D68" w:rsidRDefault="004E3D68" w:rsidP="004E3D68">
      <w:pPr>
        <w:jc w:val="both"/>
        <w:rPr>
          <w:color w:val="262626" w:themeColor="text1" w:themeTint="D9"/>
          <w:lang w:val="hu-HU"/>
        </w:rPr>
      </w:pPr>
      <w:r w:rsidRPr="004E3D68">
        <w:rPr>
          <w:color w:val="262626" w:themeColor="text1" w:themeTint="D9"/>
          <w:lang w:val="hu-HU"/>
        </w:rPr>
        <w:t>A törvény előírásai, amennyiben az államelnök kihirdeti és megjelenik a Hivatalos Közlönyben, 2022-től lépnek életbe.</w:t>
      </w:r>
    </w:p>
    <w:p w14:paraId="75AB2B7F" w14:textId="77777777" w:rsidR="004E3D68" w:rsidRPr="004E3D68" w:rsidRDefault="004E3D68" w:rsidP="004E3D68">
      <w:pPr>
        <w:jc w:val="both"/>
        <w:rPr>
          <w:color w:val="262626" w:themeColor="text1" w:themeTint="D9"/>
          <w:lang w:val="hu-HU"/>
        </w:rPr>
      </w:pPr>
    </w:p>
    <w:p w14:paraId="42B09342" w14:textId="70CCC9B3" w:rsidR="004E3D68" w:rsidRDefault="004E3D68" w:rsidP="004E3D68">
      <w:pPr>
        <w:jc w:val="both"/>
        <w:rPr>
          <w:color w:val="262626" w:themeColor="text1" w:themeTint="D9"/>
          <w:lang w:val="hu-HU"/>
        </w:rPr>
      </w:pPr>
      <w:r w:rsidRPr="004E3D68">
        <w:rPr>
          <w:color w:val="262626" w:themeColor="text1" w:themeTint="D9"/>
          <w:lang w:val="hu-HU"/>
        </w:rPr>
        <w:t>-L</w:t>
      </w:r>
      <w:r>
        <w:rPr>
          <w:color w:val="262626" w:themeColor="text1" w:themeTint="D9"/>
          <w:lang w:val="hu-HU"/>
        </w:rPr>
        <w:t>í</w:t>
      </w:r>
      <w:r w:rsidRPr="004E3D68">
        <w:rPr>
          <w:color w:val="262626" w:themeColor="text1" w:themeTint="D9"/>
          <w:lang w:val="hu-HU"/>
        </w:rPr>
        <w:t>zingszerződések nem rendelkezhetnek végrehajtói okirati erővel. A gazdasági bizottságban megfogalmazott, 2019-es törvénytervezet, az alkotmánybíróság felülvizsgálata után, 2021-ben lett kihirdetett törvény. A jogszabály</w:t>
      </w:r>
      <w:r>
        <w:rPr>
          <w:color w:val="262626" w:themeColor="text1" w:themeTint="D9"/>
          <w:lang w:val="hu-HU"/>
        </w:rPr>
        <w:t xml:space="preserve"> </w:t>
      </w:r>
      <w:r w:rsidRPr="004E3D68">
        <w:rPr>
          <w:color w:val="262626" w:themeColor="text1" w:themeTint="D9"/>
          <w:lang w:val="hu-HU"/>
        </w:rPr>
        <w:t>eltörli a l</w:t>
      </w:r>
      <w:r>
        <w:rPr>
          <w:color w:val="262626" w:themeColor="text1" w:themeTint="D9"/>
          <w:lang w:val="hu-HU"/>
        </w:rPr>
        <w:t>í</w:t>
      </w:r>
      <w:r w:rsidRPr="004E3D68">
        <w:rPr>
          <w:color w:val="262626" w:themeColor="text1" w:themeTint="D9"/>
          <w:lang w:val="hu-HU"/>
        </w:rPr>
        <w:t xml:space="preserve">zingszerződések végrehajtói jogait a </w:t>
      </w:r>
      <w:proofErr w:type="spellStart"/>
      <w:r w:rsidRPr="004E3D68">
        <w:rPr>
          <w:color w:val="262626" w:themeColor="text1" w:themeTint="D9"/>
          <w:lang w:val="hu-HU"/>
        </w:rPr>
        <w:t>fogyasztóikkal</w:t>
      </w:r>
      <w:proofErr w:type="spellEnd"/>
      <w:r w:rsidRPr="004E3D68">
        <w:rPr>
          <w:color w:val="262626" w:themeColor="text1" w:themeTint="D9"/>
          <w:lang w:val="hu-HU"/>
        </w:rPr>
        <w:t xml:space="preserve"> szemben, ami azt jelenti, hogy nem végezhetnek kényszer-végrehajtást a fogyasztókkal szemben, mivel első lépésként a bírósághoz kell forduljanak. Ugyanakkor szabályoztuk, hogy amennyiben a fogyasztó a részletfizetés elmulasztásával visszaszolgáltatja a tárgyi javakat, akkor eltörlik a további adósságát, </w:t>
      </w:r>
      <w:proofErr w:type="gramStart"/>
      <w:r w:rsidRPr="004E3D68">
        <w:rPr>
          <w:color w:val="262626" w:themeColor="text1" w:themeTint="D9"/>
          <w:lang w:val="hu-HU"/>
        </w:rPr>
        <w:t>legtöbb</w:t>
      </w:r>
      <w:proofErr w:type="gramEnd"/>
      <w:r w:rsidRPr="004E3D68">
        <w:rPr>
          <w:color w:val="262626" w:themeColor="text1" w:themeTint="D9"/>
          <w:lang w:val="hu-HU"/>
        </w:rPr>
        <w:t xml:space="preserve"> amit fizetnie kell, az a teljes összeg és a tárgy értékesítése között keletkezett esetleges különbözet.</w:t>
      </w:r>
    </w:p>
    <w:p w14:paraId="638363AF" w14:textId="42941102" w:rsidR="004E3D68" w:rsidRDefault="004E3D68" w:rsidP="004E3D68">
      <w:pPr>
        <w:jc w:val="both"/>
        <w:rPr>
          <w:color w:val="262626" w:themeColor="text1" w:themeTint="D9"/>
          <w:lang w:val="hu-HU"/>
        </w:rPr>
      </w:pPr>
    </w:p>
    <w:p w14:paraId="455D4ACD" w14:textId="270B627B" w:rsidR="004E3D68" w:rsidRDefault="004E3D68" w:rsidP="004E3D68">
      <w:pPr>
        <w:jc w:val="both"/>
        <w:rPr>
          <w:color w:val="262626" w:themeColor="text1" w:themeTint="D9"/>
          <w:lang w:val="hu-HU"/>
        </w:rPr>
      </w:pPr>
    </w:p>
    <w:p w14:paraId="7ACDD183" w14:textId="44EB7DB5" w:rsidR="004E3D68" w:rsidRDefault="004E3D68" w:rsidP="004E3D68">
      <w:pPr>
        <w:jc w:val="both"/>
        <w:rPr>
          <w:color w:val="262626" w:themeColor="text1" w:themeTint="D9"/>
          <w:lang w:val="hu-HU"/>
        </w:rPr>
      </w:pPr>
    </w:p>
    <w:p w14:paraId="194270FB" w14:textId="24F51A10" w:rsidR="004E3D68" w:rsidRDefault="004E3D68" w:rsidP="004E3D68">
      <w:pPr>
        <w:jc w:val="both"/>
        <w:rPr>
          <w:color w:val="262626" w:themeColor="text1" w:themeTint="D9"/>
          <w:lang w:val="hu-HU"/>
        </w:rPr>
      </w:pPr>
    </w:p>
    <w:p w14:paraId="69F59939" w14:textId="0E040F81" w:rsidR="004E3D68" w:rsidRDefault="004E3D68" w:rsidP="004E3D68">
      <w:pPr>
        <w:jc w:val="both"/>
        <w:rPr>
          <w:color w:val="262626" w:themeColor="text1" w:themeTint="D9"/>
          <w:lang w:val="hu-HU"/>
        </w:rPr>
      </w:pPr>
    </w:p>
    <w:p w14:paraId="4CD37BA3" w14:textId="683B09C2" w:rsidR="004E3D68" w:rsidRDefault="004E3D68" w:rsidP="004E3D68">
      <w:pPr>
        <w:jc w:val="both"/>
        <w:rPr>
          <w:color w:val="262626" w:themeColor="text1" w:themeTint="D9"/>
          <w:lang w:val="hu-HU"/>
        </w:rPr>
      </w:pPr>
    </w:p>
    <w:p w14:paraId="3BF246BF" w14:textId="5890DD1C" w:rsidR="004E3D68" w:rsidRDefault="004E3D68" w:rsidP="004E3D68">
      <w:pPr>
        <w:jc w:val="both"/>
        <w:rPr>
          <w:color w:val="262626" w:themeColor="text1" w:themeTint="D9"/>
          <w:lang w:val="hu-HU"/>
        </w:rPr>
      </w:pPr>
    </w:p>
    <w:p w14:paraId="487F5F33" w14:textId="77777777" w:rsidR="004E3D68" w:rsidRPr="004E3D68" w:rsidRDefault="004E3D68" w:rsidP="004E3D68">
      <w:pPr>
        <w:jc w:val="both"/>
        <w:rPr>
          <w:color w:val="262626" w:themeColor="text1" w:themeTint="D9"/>
          <w:lang w:val="hu-HU"/>
        </w:rPr>
      </w:pPr>
    </w:p>
    <w:p w14:paraId="0B0E2904" w14:textId="77777777" w:rsidR="004E3D68" w:rsidRPr="004E3D68" w:rsidRDefault="004E3D68" w:rsidP="004E3D68">
      <w:pPr>
        <w:jc w:val="both"/>
        <w:rPr>
          <w:color w:val="262626" w:themeColor="text1" w:themeTint="D9"/>
          <w:lang w:val="hu-HU"/>
        </w:rPr>
      </w:pPr>
    </w:p>
    <w:p w14:paraId="3948305B" w14:textId="77777777" w:rsidR="004E3D68" w:rsidRPr="004E3D68" w:rsidRDefault="004E3D68" w:rsidP="004E3D68">
      <w:pPr>
        <w:jc w:val="both"/>
        <w:rPr>
          <w:color w:val="262626" w:themeColor="text1" w:themeTint="D9"/>
          <w:lang w:val="hu-HU"/>
        </w:rPr>
      </w:pPr>
    </w:p>
    <w:p w14:paraId="2173EBDA" w14:textId="77777777" w:rsidR="004E3D68" w:rsidRPr="004E3D68" w:rsidRDefault="004E3D68" w:rsidP="004E3D68">
      <w:pPr>
        <w:jc w:val="both"/>
        <w:rPr>
          <w:b/>
          <w:bCs/>
          <w:color w:val="262626" w:themeColor="text1" w:themeTint="D9"/>
          <w:lang w:val="hu-HU"/>
        </w:rPr>
      </w:pPr>
      <w:r w:rsidRPr="004E3D68">
        <w:rPr>
          <w:b/>
          <w:bCs/>
          <w:color w:val="262626" w:themeColor="text1" w:themeTint="D9"/>
          <w:lang w:val="hu-HU"/>
        </w:rPr>
        <w:t>Energia, Energetikai Infrastruktúra és Altalajkincsért felelős bizottság elnökeként:</w:t>
      </w:r>
    </w:p>
    <w:p w14:paraId="772BC709" w14:textId="77777777" w:rsidR="004E3D68" w:rsidRPr="004E3D68" w:rsidRDefault="004E3D68" w:rsidP="004E3D68">
      <w:pPr>
        <w:jc w:val="both"/>
        <w:rPr>
          <w:color w:val="262626" w:themeColor="text1" w:themeTint="D9"/>
          <w:lang w:val="hu-HU"/>
        </w:rPr>
      </w:pPr>
      <w:r w:rsidRPr="004E3D68">
        <w:rPr>
          <w:color w:val="262626" w:themeColor="text1" w:themeTint="D9"/>
          <w:lang w:val="hu-HU"/>
        </w:rPr>
        <w:t>- 29 bizottsági ülést vezettem le az Energia, Energetikai Infrastruktúra és Altalajkincsért felelős bizottságban</w:t>
      </w:r>
    </w:p>
    <w:p w14:paraId="657F90FD" w14:textId="77777777" w:rsidR="004E3D68" w:rsidRPr="004E3D68" w:rsidRDefault="004E3D68" w:rsidP="004E3D68">
      <w:pPr>
        <w:jc w:val="both"/>
        <w:rPr>
          <w:color w:val="262626" w:themeColor="text1" w:themeTint="D9"/>
          <w:lang w:val="hu-HU"/>
        </w:rPr>
      </w:pPr>
      <w:r w:rsidRPr="004E3D68">
        <w:rPr>
          <w:color w:val="262626" w:themeColor="text1" w:themeTint="D9"/>
          <w:lang w:val="hu-HU"/>
        </w:rPr>
        <w:t>- 23 törvénykezdeményezést elemeztünk ki és tárgyaltuk meg a bizottsági ülések során, amire 12 jelentést és 11 véleményezést adtunk, illetve 15 európai dokumentumot érvényesítettünk szavazatunkkal</w:t>
      </w:r>
    </w:p>
    <w:p w14:paraId="69EA2954" w14:textId="77777777" w:rsidR="004E3D68" w:rsidRPr="004E3D68" w:rsidRDefault="004E3D68" w:rsidP="004E3D68">
      <w:pPr>
        <w:jc w:val="both"/>
        <w:rPr>
          <w:color w:val="262626" w:themeColor="text1" w:themeTint="D9"/>
          <w:lang w:val="hu-HU"/>
        </w:rPr>
      </w:pPr>
      <w:r w:rsidRPr="004E3D68">
        <w:rPr>
          <w:color w:val="262626" w:themeColor="text1" w:themeTint="D9"/>
          <w:lang w:val="hu-HU"/>
        </w:rPr>
        <w:t>Fontosabb törvénykezések:</w:t>
      </w:r>
    </w:p>
    <w:p w14:paraId="5740592D" w14:textId="740D34B6" w:rsidR="004E3D68" w:rsidRPr="004E3D68" w:rsidRDefault="004E3D68" w:rsidP="004E3D68">
      <w:pPr>
        <w:jc w:val="both"/>
        <w:rPr>
          <w:color w:val="262626" w:themeColor="text1" w:themeTint="D9"/>
          <w:lang w:val="hu-HU"/>
        </w:rPr>
      </w:pPr>
      <w:r w:rsidRPr="004E3D68">
        <w:rPr>
          <w:color w:val="262626" w:themeColor="text1" w:themeTint="D9"/>
          <w:lang w:val="hu-HU"/>
        </w:rPr>
        <w:t>-</w:t>
      </w:r>
      <w:r w:rsidRPr="004E3D68">
        <w:rPr>
          <w:color w:val="262626" w:themeColor="text1" w:themeTint="D9"/>
          <w:lang w:val="hu-HU"/>
        </w:rPr>
        <w:tab/>
      </w:r>
      <w:r w:rsidRPr="004E3D68">
        <w:rPr>
          <w:b/>
          <w:bCs/>
          <w:color w:val="262626" w:themeColor="text1" w:themeTint="D9"/>
          <w:lang w:val="hu-HU"/>
        </w:rPr>
        <w:t>Életbe lépett a kiszolgáltatott energiafogyasztókról szóló törvény.</w:t>
      </w:r>
      <w:r w:rsidRPr="004E3D68">
        <w:rPr>
          <w:color w:val="262626" w:themeColor="text1" w:themeTint="D9"/>
          <w:lang w:val="hu-HU"/>
        </w:rPr>
        <w:t xml:space="preserve"> </w:t>
      </w:r>
      <w:proofErr w:type="spellStart"/>
      <w:r w:rsidRPr="004E3D68">
        <w:rPr>
          <w:color w:val="262626" w:themeColor="text1" w:themeTint="D9"/>
          <w:lang w:val="hu-HU"/>
        </w:rPr>
        <w:t>Vulnerábilis</w:t>
      </w:r>
      <w:proofErr w:type="spellEnd"/>
      <w:r w:rsidRPr="004E3D68">
        <w:rPr>
          <w:color w:val="262626" w:themeColor="text1" w:themeTint="D9"/>
          <w:lang w:val="hu-HU"/>
        </w:rPr>
        <w:t xml:space="preserve"> energiafogyasztóról beszélünk abban az esetben, amikor egy háztartás nem képes megengedni magának az alapvető energiaszolgáltatásokat. Abban az esetben beszélünk </w:t>
      </w:r>
      <w:proofErr w:type="spellStart"/>
      <w:r w:rsidRPr="004E3D68">
        <w:rPr>
          <w:color w:val="262626" w:themeColor="text1" w:themeTint="D9"/>
          <w:lang w:val="hu-HU"/>
        </w:rPr>
        <w:t>vulnerábilis</w:t>
      </w:r>
      <w:proofErr w:type="spellEnd"/>
      <w:r w:rsidRPr="004E3D68">
        <w:rPr>
          <w:color w:val="262626" w:themeColor="text1" w:themeTint="D9"/>
          <w:lang w:val="hu-HU"/>
        </w:rPr>
        <w:t xml:space="preserve"> fogyasztóról, amikor egy egyén a havi jövedelme 10-15 százalékát alapvető energiaszolgáltatásokra (fűtés, hűtés, világítás, mobilitás és áramellátás) költi. Romániában eddig nem volt hivatalos definíciója és mérőszáma az energiaszegénységnek. A Nemzeti Statisztikai Hivatal (INS) tanulmánya értelmében Romániának több mint 20 százaléka energiaszegénységben él. A koalíció által kezdeményezett törvénytervezet egyértelműen meghatározza a kiszolgált</w:t>
      </w:r>
      <w:r>
        <w:rPr>
          <w:color w:val="262626" w:themeColor="text1" w:themeTint="D9"/>
          <w:lang w:val="hu-HU"/>
        </w:rPr>
        <w:t>at</w:t>
      </w:r>
      <w:r w:rsidRPr="004E3D68">
        <w:rPr>
          <w:color w:val="262626" w:themeColor="text1" w:themeTint="D9"/>
          <w:lang w:val="hu-HU"/>
        </w:rPr>
        <w:t xml:space="preserve">ott fogyasztók kategóriáját, és számos pénzügyi és nem pénzügyi intézkedéssel segíti az érintetteket. Ennek értelmében azok a családok tartoznak a </w:t>
      </w:r>
      <w:proofErr w:type="spellStart"/>
      <w:r w:rsidRPr="004E3D68">
        <w:rPr>
          <w:color w:val="262626" w:themeColor="text1" w:themeTint="D9"/>
          <w:lang w:val="hu-HU"/>
        </w:rPr>
        <w:t>vulnerábilis</w:t>
      </w:r>
      <w:proofErr w:type="spellEnd"/>
      <w:r w:rsidRPr="004E3D68">
        <w:rPr>
          <w:color w:val="262626" w:themeColor="text1" w:themeTint="D9"/>
          <w:lang w:val="hu-HU"/>
        </w:rPr>
        <w:t xml:space="preserve"> energiafogyasztó kategóriába, akiknek egyénenként 810 lej nett</w:t>
      </w:r>
      <w:r>
        <w:rPr>
          <w:color w:val="262626" w:themeColor="text1" w:themeTint="D9"/>
          <w:lang w:val="hu-HU"/>
        </w:rPr>
        <w:t>ó</w:t>
      </w:r>
      <w:r w:rsidRPr="004E3D68">
        <w:rPr>
          <w:color w:val="262626" w:themeColor="text1" w:themeTint="D9"/>
          <w:lang w:val="hu-HU"/>
        </w:rPr>
        <w:t xml:space="preserve"> jövedelmük van, egyedül élők esetében 1450 lej. A jelenlegi jogszabály meghatározza az elektromos energia-, földgáz- és tűzifa-fogyasztás referenciaértékeit és olyan </w:t>
      </w:r>
      <w:proofErr w:type="spellStart"/>
      <w:r w:rsidRPr="004E3D68">
        <w:rPr>
          <w:color w:val="262626" w:themeColor="text1" w:themeTint="D9"/>
          <w:lang w:val="hu-HU"/>
        </w:rPr>
        <w:t>intézkedésket</w:t>
      </w:r>
      <w:proofErr w:type="spellEnd"/>
      <w:r w:rsidRPr="004E3D68">
        <w:rPr>
          <w:color w:val="262626" w:themeColor="text1" w:themeTint="D9"/>
          <w:lang w:val="hu-HU"/>
        </w:rPr>
        <w:t xml:space="preserve"> vezet be, amelyek megkönnyítik a kiszolgáltatott fogyasztó hozzáférését az energiaellátáshoz egy jobb életminőség érdekében.</w:t>
      </w:r>
    </w:p>
    <w:p w14:paraId="5AA9EF22" w14:textId="77777777" w:rsidR="004E3D68" w:rsidRPr="004E3D68" w:rsidRDefault="004E3D68" w:rsidP="004E3D68">
      <w:pPr>
        <w:jc w:val="both"/>
        <w:rPr>
          <w:color w:val="262626" w:themeColor="text1" w:themeTint="D9"/>
          <w:lang w:val="hu-HU"/>
        </w:rPr>
      </w:pPr>
    </w:p>
    <w:p w14:paraId="4447D8BF" w14:textId="77777777" w:rsidR="004E3D68" w:rsidRPr="004E3D68" w:rsidRDefault="004E3D68" w:rsidP="004E3D68">
      <w:pPr>
        <w:jc w:val="both"/>
        <w:rPr>
          <w:color w:val="262626" w:themeColor="text1" w:themeTint="D9"/>
          <w:lang w:val="hu-HU"/>
        </w:rPr>
      </w:pPr>
      <w:r w:rsidRPr="004E3D68">
        <w:rPr>
          <w:color w:val="262626" w:themeColor="text1" w:themeTint="D9"/>
          <w:lang w:val="hu-HU"/>
        </w:rPr>
        <w:t>-</w:t>
      </w:r>
      <w:r w:rsidRPr="004E3D68">
        <w:rPr>
          <w:color w:val="262626" w:themeColor="text1" w:themeTint="D9"/>
          <w:lang w:val="hu-HU"/>
        </w:rPr>
        <w:tab/>
      </w:r>
      <w:r w:rsidRPr="004E3D68">
        <w:rPr>
          <w:b/>
          <w:bCs/>
          <w:color w:val="262626" w:themeColor="text1" w:themeTint="D9"/>
          <w:lang w:val="hu-HU"/>
        </w:rPr>
        <w:t>Nem kérhetnek bérleti díjat az önkormányzatoktól a villanyoszlopok tulajdonosai</w:t>
      </w:r>
      <w:r w:rsidRPr="004E3D68">
        <w:rPr>
          <w:color w:val="262626" w:themeColor="text1" w:themeTint="D9"/>
          <w:lang w:val="hu-HU"/>
        </w:rPr>
        <w:t>. A közterületek biztonságának növelése érdekében az önkormányzatok kamerás megfigyelőrendszert használhatnak. Ezeket azokra a villanyoszlopokra szerelik, amelyek az adott település önkormányzatának, vagy a villamosenergia-üzemeltetőnek a tulajdonában vannak. Mivel a közvilágítást szabályozó törvény szövege nem volt egyértelmű, a villanyoszlopok tulajdonosai olyan kiskapukat találtak, amelyen keresztül az önkormányzatok által működtetett kamerákra nem, de a hozzá tartozó vezetékekre és egyéb tartozékaira továbbra is bért számoltak. A módosító javaslatomnak köszönhetően egyértelművé tettük azt, hogy az önkormányzatoknak sem a kamerákra, sem a hozzá tartozó vezetékekre többé nem számolhatnak bérleti díjat a villanyoszlopok tulajdonosai. A törvénytervezet esetében a szenátus első házként, a képviselőház döntőházként szavaz, majd az államelnöki kihirdetést követően léphet hatályba.</w:t>
      </w:r>
    </w:p>
    <w:p w14:paraId="1352F8B9" w14:textId="77777777" w:rsidR="004E3D68" w:rsidRPr="004E3D68" w:rsidRDefault="004E3D68" w:rsidP="004E3D68">
      <w:pPr>
        <w:jc w:val="both"/>
        <w:rPr>
          <w:color w:val="262626" w:themeColor="text1" w:themeTint="D9"/>
          <w:lang w:val="hu-HU"/>
        </w:rPr>
      </w:pPr>
    </w:p>
    <w:p w14:paraId="711C82CF" w14:textId="5974142C" w:rsidR="004E3D68" w:rsidRDefault="004E3D68" w:rsidP="004E3D68">
      <w:pPr>
        <w:jc w:val="both"/>
        <w:rPr>
          <w:color w:val="262626" w:themeColor="text1" w:themeTint="D9"/>
          <w:lang w:val="hu-HU"/>
        </w:rPr>
      </w:pPr>
      <w:r w:rsidRPr="004E3D68">
        <w:rPr>
          <w:color w:val="262626" w:themeColor="text1" w:themeTint="D9"/>
          <w:lang w:val="hu-HU"/>
        </w:rPr>
        <w:t>-</w:t>
      </w:r>
      <w:r w:rsidRPr="004E3D68">
        <w:rPr>
          <w:color w:val="262626" w:themeColor="text1" w:themeTint="D9"/>
          <w:lang w:val="hu-HU"/>
        </w:rPr>
        <w:tab/>
      </w:r>
      <w:r w:rsidRPr="004E3D68">
        <w:rPr>
          <w:b/>
          <w:bCs/>
          <w:color w:val="262626" w:themeColor="text1" w:themeTint="D9"/>
          <w:lang w:val="hu-HU"/>
        </w:rPr>
        <w:t>Sürgősségi eljárásban fagyasztottuk be az energiaárakat.</w:t>
      </w:r>
      <w:r w:rsidRPr="004E3D68">
        <w:rPr>
          <w:color w:val="262626" w:themeColor="text1" w:themeTint="D9"/>
          <w:lang w:val="hu-HU"/>
        </w:rPr>
        <w:t xml:space="preserve"> Az RMDSZ nyomására október elején sürgősségi kormányrendeletet fogadott el a kormány az elszabaduló energiaárak megoldására, ezt a jogszabályt a szenátusi munkálatok alatt úgy módosítottuk, hogy teljes mértékben tartalmazza az RMDSZ javaslatait, és </w:t>
      </w:r>
      <w:proofErr w:type="spellStart"/>
      <w:r w:rsidRPr="004E3D68">
        <w:rPr>
          <w:color w:val="262626" w:themeColor="text1" w:themeTint="D9"/>
          <w:lang w:val="hu-HU"/>
        </w:rPr>
        <w:t>befagyassza</w:t>
      </w:r>
      <w:proofErr w:type="spellEnd"/>
      <w:r w:rsidRPr="004E3D68">
        <w:rPr>
          <w:color w:val="262626" w:themeColor="text1" w:themeTint="D9"/>
          <w:lang w:val="hu-HU"/>
        </w:rPr>
        <w:t xml:space="preserve"> az energiaárakat. Így 2021. november 1-je és 2022. március 31-e között a háztartási fogyasztóknak a földgáz esetében 25%-</w:t>
      </w:r>
      <w:proofErr w:type="spellStart"/>
      <w:r w:rsidRPr="004E3D68">
        <w:rPr>
          <w:color w:val="262626" w:themeColor="text1" w:themeTint="D9"/>
          <w:lang w:val="hu-HU"/>
        </w:rPr>
        <w:t>ról</w:t>
      </w:r>
      <w:proofErr w:type="spellEnd"/>
      <w:r w:rsidRPr="004E3D68">
        <w:rPr>
          <w:color w:val="262626" w:themeColor="text1" w:themeTint="D9"/>
          <w:lang w:val="hu-HU"/>
        </w:rPr>
        <w:t xml:space="preserve"> 33%-</w:t>
      </w:r>
      <w:proofErr w:type="spellStart"/>
      <w:r w:rsidRPr="004E3D68">
        <w:rPr>
          <w:color w:val="262626" w:themeColor="text1" w:themeTint="D9"/>
          <w:lang w:val="hu-HU"/>
        </w:rPr>
        <w:t>ra</w:t>
      </w:r>
      <w:proofErr w:type="spellEnd"/>
      <w:r w:rsidRPr="004E3D68">
        <w:rPr>
          <w:color w:val="262626" w:themeColor="text1" w:themeTint="D9"/>
          <w:lang w:val="hu-HU"/>
        </w:rPr>
        <w:t xml:space="preserve"> emeltük a megtérítést, a villamos energia esetében pedig – 1650 kWh fogyasztásig – 0,21 </w:t>
      </w:r>
      <w:proofErr w:type="spellStart"/>
      <w:r w:rsidRPr="004E3D68">
        <w:rPr>
          <w:color w:val="262626" w:themeColor="text1" w:themeTint="D9"/>
          <w:lang w:val="hu-HU"/>
        </w:rPr>
        <w:t>baniról</w:t>
      </w:r>
      <w:proofErr w:type="spellEnd"/>
      <w:r w:rsidRPr="004E3D68">
        <w:rPr>
          <w:color w:val="262626" w:themeColor="text1" w:themeTint="D9"/>
          <w:lang w:val="hu-HU"/>
        </w:rPr>
        <w:t xml:space="preserve"> 0,29 </w:t>
      </w:r>
      <w:proofErr w:type="spellStart"/>
      <w:r w:rsidRPr="004E3D68">
        <w:rPr>
          <w:color w:val="262626" w:themeColor="text1" w:themeTint="D9"/>
          <w:lang w:val="hu-HU"/>
        </w:rPr>
        <w:t>banira</w:t>
      </w:r>
      <w:proofErr w:type="spellEnd"/>
      <w:r w:rsidRPr="004E3D68">
        <w:rPr>
          <w:color w:val="262626" w:themeColor="text1" w:themeTint="D9"/>
          <w:lang w:val="hu-HU"/>
        </w:rPr>
        <w:t xml:space="preserve"> emeltük a kompenzációt kilowattonként erre az 5 hónapra.</w:t>
      </w:r>
    </w:p>
    <w:p w14:paraId="5536C45C" w14:textId="3117D83C" w:rsidR="004E3D68" w:rsidRDefault="004E3D68" w:rsidP="004E3D68">
      <w:pPr>
        <w:jc w:val="both"/>
        <w:rPr>
          <w:color w:val="262626" w:themeColor="text1" w:themeTint="D9"/>
          <w:lang w:val="hu-HU"/>
        </w:rPr>
      </w:pPr>
    </w:p>
    <w:p w14:paraId="7ACF5554" w14:textId="7F09680E" w:rsidR="004E3D68" w:rsidRDefault="004E3D68" w:rsidP="004E3D68">
      <w:pPr>
        <w:jc w:val="both"/>
        <w:rPr>
          <w:color w:val="262626" w:themeColor="text1" w:themeTint="D9"/>
          <w:lang w:val="hu-HU"/>
        </w:rPr>
      </w:pPr>
    </w:p>
    <w:p w14:paraId="26E9DAB2" w14:textId="7477B102" w:rsidR="004E3D68" w:rsidRDefault="004E3D68" w:rsidP="004E3D68">
      <w:pPr>
        <w:jc w:val="both"/>
        <w:rPr>
          <w:color w:val="262626" w:themeColor="text1" w:themeTint="D9"/>
          <w:lang w:val="hu-HU"/>
        </w:rPr>
      </w:pPr>
    </w:p>
    <w:p w14:paraId="2ECE8B78" w14:textId="44C94A3E" w:rsidR="004E3D68" w:rsidRDefault="004E3D68" w:rsidP="004E3D68">
      <w:pPr>
        <w:jc w:val="both"/>
        <w:rPr>
          <w:color w:val="262626" w:themeColor="text1" w:themeTint="D9"/>
          <w:lang w:val="hu-HU"/>
        </w:rPr>
      </w:pPr>
    </w:p>
    <w:p w14:paraId="79320995" w14:textId="0FA689E6" w:rsidR="004E3D68" w:rsidRDefault="004E3D68" w:rsidP="004E3D68">
      <w:pPr>
        <w:jc w:val="both"/>
        <w:rPr>
          <w:color w:val="262626" w:themeColor="text1" w:themeTint="D9"/>
          <w:lang w:val="hu-HU"/>
        </w:rPr>
      </w:pPr>
    </w:p>
    <w:p w14:paraId="0304FE45" w14:textId="719B5C01" w:rsidR="004E3D68" w:rsidRDefault="004E3D68" w:rsidP="004E3D68">
      <w:pPr>
        <w:jc w:val="both"/>
        <w:rPr>
          <w:color w:val="262626" w:themeColor="text1" w:themeTint="D9"/>
          <w:lang w:val="hu-HU"/>
        </w:rPr>
      </w:pPr>
    </w:p>
    <w:p w14:paraId="70258261" w14:textId="77777777" w:rsidR="004E3D68" w:rsidRPr="004E3D68" w:rsidRDefault="004E3D68" w:rsidP="004E3D68">
      <w:pPr>
        <w:jc w:val="both"/>
        <w:rPr>
          <w:color w:val="262626" w:themeColor="text1" w:themeTint="D9"/>
          <w:lang w:val="hu-HU"/>
        </w:rPr>
      </w:pPr>
    </w:p>
    <w:p w14:paraId="6DD3227A" w14:textId="77777777" w:rsidR="004E3D68" w:rsidRPr="004E3D68" w:rsidRDefault="004E3D68" w:rsidP="004E3D68">
      <w:pPr>
        <w:jc w:val="both"/>
        <w:rPr>
          <w:color w:val="262626" w:themeColor="text1" w:themeTint="D9"/>
          <w:lang w:val="hu-HU"/>
        </w:rPr>
      </w:pPr>
    </w:p>
    <w:p w14:paraId="57DE9615" w14:textId="77777777" w:rsidR="004E3D68" w:rsidRPr="004E3D68" w:rsidRDefault="004E3D68" w:rsidP="004E3D68">
      <w:pPr>
        <w:jc w:val="both"/>
        <w:rPr>
          <w:color w:val="262626" w:themeColor="text1" w:themeTint="D9"/>
          <w:lang w:val="hu-HU"/>
        </w:rPr>
      </w:pPr>
      <w:r w:rsidRPr="004E3D68">
        <w:rPr>
          <w:color w:val="262626" w:themeColor="text1" w:themeTint="D9"/>
          <w:lang w:val="hu-HU"/>
        </w:rPr>
        <w:t>-</w:t>
      </w:r>
      <w:r w:rsidRPr="004E3D68">
        <w:rPr>
          <w:color w:val="262626" w:themeColor="text1" w:themeTint="D9"/>
          <w:lang w:val="hu-HU"/>
        </w:rPr>
        <w:tab/>
      </w:r>
      <w:r w:rsidRPr="004E3D68">
        <w:rPr>
          <w:b/>
          <w:bCs/>
          <w:color w:val="262626" w:themeColor="text1" w:themeTint="D9"/>
          <w:lang w:val="hu-HU"/>
        </w:rPr>
        <w:t>Az RMDSZ javaslatára döntött a kormány annak a törvénynek a hatálybaléptetési metodológiájáról, amely segítségével a felszíni kitermelésből származó bányailleték nyolcvan százaléka a helyi és megyei önkormányzatoknál marad</w:t>
      </w:r>
      <w:r w:rsidRPr="004E3D68">
        <w:rPr>
          <w:color w:val="262626" w:themeColor="text1" w:themeTint="D9"/>
          <w:lang w:val="hu-HU"/>
        </w:rPr>
        <w:t>. A javaslat értelmében, amelyet a fejlesztési szaktárca terjesztett a kormány elé elfogadásra, minden kitermelő az illeték 40%-át a helyi, 40%-át a megyei önkormányzatnak utalja, és 20%-</w:t>
      </w:r>
      <w:proofErr w:type="spellStart"/>
      <w:r w:rsidRPr="004E3D68">
        <w:rPr>
          <w:color w:val="262626" w:themeColor="text1" w:themeTint="D9"/>
          <w:lang w:val="hu-HU"/>
        </w:rPr>
        <w:t>ot</w:t>
      </w:r>
      <w:proofErr w:type="spellEnd"/>
      <w:r w:rsidRPr="004E3D68">
        <w:rPr>
          <w:color w:val="262626" w:themeColor="text1" w:themeTint="D9"/>
          <w:lang w:val="hu-HU"/>
        </w:rPr>
        <w:t xml:space="preserve"> utal az állami kincstárba. Az ásványvíz kitermelés után fizetett illetéknek pedig a 45%-a </w:t>
      </w:r>
      <w:proofErr w:type="spellStart"/>
      <w:r w:rsidRPr="004E3D68">
        <w:rPr>
          <w:color w:val="262626" w:themeColor="text1" w:themeTint="D9"/>
          <w:lang w:val="hu-HU"/>
        </w:rPr>
        <w:t>a</w:t>
      </w:r>
      <w:proofErr w:type="spellEnd"/>
      <w:r w:rsidRPr="004E3D68">
        <w:rPr>
          <w:color w:val="262626" w:themeColor="text1" w:themeTint="D9"/>
          <w:lang w:val="hu-HU"/>
        </w:rPr>
        <w:t xml:space="preserve"> helyi és 35%-a </w:t>
      </w:r>
      <w:proofErr w:type="spellStart"/>
      <w:r w:rsidRPr="004E3D68">
        <w:rPr>
          <w:color w:val="262626" w:themeColor="text1" w:themeTint="D9"/>
          <w:lang w:val="hu-HU"/>
        </w:rPr>
        <w:t>a</w:t>
      </w:r>
      <w:proofErr w:type="spellEnd"/>
      <w:r w:rsidRPr="004E3D68">
        <w:rPr>
          <w:color w:val="262626" w:themeColor="text1" w:themeTint="D9"/>
          <w:lang w:val="hu-HU"/>
        </w:rPr>
        <w:t xml:space="preserve"> megyei önkormányzat költségvetését gyarapítja. Évente több mint 420 millió lej folyt be a központi államkasszába olyan felszíni bányászat után fizetett illetékekből, mint a kavics és a homok kitermelés, vagy az ásványvíz palackozás. A döntés értelmében ennek a 80%-a, azaz több mint 300 millió lej a helyi közösségek rendelkezésére áll.</w:t>
      </w:r>
    </w:p>
    <w:p w14:paraId="113095E6" w14:textId="77777777" w:rsidR="004E3D68" w:rsidRPr="004E3D68" w:rsidRDefault="004E3D68" w:rsidP="004E3D68">
      <w:pPr>
        <w:jc w:val="both"/>
        <w:rPr>
          <w:color w:val="262626" w:themeColor="text1" w:themeTint="D9"/>
          <w:lang w:val="hu-HU"/>
        </w:rPr>
      </w:pPr>
      <w:r w:rsidRPr="004E3D68">
        <w:rPr>
          <w:color w:val="262626" w:themeColor="text1" w:themeTint="D9"/>
          <w:lang w:val="hu-HU"/>
        </w:rPr>
        <w:t xml:space="preserve">Az elfogadott jogszabály értelmében az eredeti, 2019–2020-as törvények hatálybalépése után behajtott összegeket is kiosztják a helyi önkormányzatoknak, a mai döntés hatálybaléptetése után pedig egyenesen a helyi önkormányzatoknak kell utalni az illetéket, nem várja meg a helyi költségvetés a központi visszaosztást. Kiemelten fontos döntés számomra, hisz 2018-ban, szenátori mandátumom betöltésekor már módosító javaslatokat fogalmaztam meg annak érdekében, hogy ez a törvény megszülethessen. </w:t>
      </w:r>
    </w:p>
    <w:p w14:paraId="0FF34C1C" w14:textId="77777777" w:rsidR="004E3D68" w:rsidRPr="004E3D68" w:rsidRDefault="004E3D68" w:rsidP="004E3D68">
      <w:pPr>
        <w:jc w:val="both"/>
        <w:rPr>
          <w:color w:val="262626" w:themeColor="text1" w:themeTint="D9"/>
          <w:lang w:val="hu-HU"/>
        </w:rPr>
      </w:pPr>
    </w:p>
    <w:p w14:paraId="03BB8074" w14:textId="77777777" w:rsidR="004E3D68" w:rsidRPr="004E3D68" w:rsidRDefault="004E3D68" w:rsidP="004E3D68">
      <w:pPr>
        <w:jc w:val="both"/>
        <w:rPr>
          <w:color w:val="262626" w:themeColor="text1" w:themeTint="D9"/>
          <w:lang w:val="hu-HU"/>
        </w:rPr>
      </w:pPr>
    </w:p>
    <w:p w14:paraId="4B3B910C" w14:textId="77777777" w:rsidR="004E3D68" w:rsidRPr="004E3D68" w:rsidRDefault="004E3D68" w:rsidP="004E3D68">
      <w:pPr>
        <w:jc w:val="both"/>
        <w:rPr>
          <w:b/>
          <w:bCs/>
          <w:color w:val="262626" w:themeColor="text1" w:themeTint="D9"/>
          <w:lang w:val="hu-HU"/>
        </w:rPr>
      </w:pPr>
      <w:r w:rsidRPr="004E3D68">
        <w:rPr>
          <w:b/>
          <w:bCs/>
          <w:color w:val="262626" w:themeColor="text1" w:themeTint="D9"/>
          <w:lang w:val="hu-HU"/>
        </w:rPr>
        <w:t xml:space="preserve">Választókörzeti tevékenység </w:t>
      </w:r>
    </w:p>
    <w:p w14:paraId="473847F6" w14:textId="1D7B968E" w:rsidR="004E3D68" w:rsidRPr="004E3D68" w:rsidRDefault="004E3D68" w:rsidP="004E3D68">
      <w:pPr>
        <w:jc w:val="both"/>
        <w:rPr>
          <w:b/>
          <w:bCs/>
          <w:color w:val="262626" w:themeColor="text1" w:themeTint="D9"/>
          <w:lang w:val="hu-HU"/>
        </w:rPr>
      </w:pPr>
      <w:r w:rsidRPr="004E3D68">
        <w:rPr>
          <w:b/>
          <w:bCs/>
          <w:color w:val="262626" w:themeColor="text1" w:themeTint="D9"/>
          <w:lang w:val="hu-HU"/>
        </w:rPr>
        <w:t>- Autó- be</w:t>
      </w:r>
      <w:r w:rsidRPr="004E3D68">
        <w:rPr>
          <w:b/>
          <w:bCs/>
          <w:color w:val="262626" w:themeColor="text1" w:themeTint="D9"/>
          <w:lang w:val="hu-HU"/>
        </w:rPr>
        <w:t>í</w:t>
      </w:r>
      <w:r w:rsidRPr="004E3D68">
        <w:rPr>
          <w:b/>
          <w:bCs/>
          <w:color w:val="262626" w:themeColor="text1" w:themeTint="D9"/>
          <w:lang w:val="hu-HU"/>
        </w:rPr>
        <w:t xml:space="preserve">ratási iroda jött létre városunkban.  </w:t>
      </w:r>
    </w:p>
    <w:p w14:paraId="552D7099" w14:textId="12C24F3D" w:rsidR="004E3D68" w:rsidRPr="004E3D68" w:rsidRDefault="004E3D68" w:rsidP="004E3D68">
      <w:pPr>
        <w:jc w:val="both"/>
        <w:rPr>
          <w:color w:val="262626" w:themeColor="text1" w:themeTint="D9"/>
          <w:lang w:val="hu-HU"/>
        </w:rPr>
      </w:pPr>
      <w:r w:rsidRPr="004E3D68">
        <w:rPr>
          <w:color w:val="262626" w:themeColor="text1" w:themeTint="D9"/>
          <w:lang w:val="hu-HU"/>
        </w:rPr>
        <w:t xml:space="preserve">2021. júniusától Székelyudvarhelyen is megnyitotta kapuit a létrejöhet gépjármű-regisztrációs iroda, amelyet </w:t>
      </w:r>
      <w:proofErr w:type="spellStart"/>
      <w:r w:rsidRPr="004E3D68">
        <w:rPr>
          <w:color w:val="262626" w:themeColor="text1" w:themeTint="D9"/>
          <w:lang w:val="hu-HU"/>
        </w:rPr>
        <w:t>Lucian</w:t>
      </w:r>
      <w:proofErr w:type="spellEnd"/>
      <w:r w:rsidRPr="004E3D68">
        <w:rPr>
          <w:color w:val="262626" w:themeColor="text1" w:themeTint="D9"/>
          <w:lang w:val="hu-HU"/>
        </w:rPr>
        <w:t xml:space="preserve"> </w:t>
      </w:r>
      <w:proofErr w:type="spellStart"/>
      <w:r w:rsidRPr="004E3D68">
        <w:rPr>
          <w:color w:val="262626" w:themeColor="text1" w:themeTint="D9"/>
          <w:lang w:val="hu-HU"/>
        </w:rPr>
        <w:t>Bode</w:t>
      </w:r>
      <w:proofErr w:type="spellEnd"/>
      <w:r w:rsidRPr="004E3D68">
        <w:rPr>
          <w:color w:val="262626" w:themeColor="text1" w:themeTint="D9"/>
          <w:lang w:val="hu-HU"/>
        </w:rPr>
        <w:t xml:space="preserve"> belügyminiszterrel való sikeres egy</w:t>
      </w:r>
      <w:r>
        <w:rPr>
          <w:color w:val="262626" w:themeColor="text1" w:themeTint="D9"/>
          <w:lang w:val="hu-HU"/>
        </w:rPr>
        <w:t>ü</w:t>
      </w:r>
      <w:r w:rsidRPr="004E3D68">
        <w:rPr>
          <w:color w:val="262626" w:themeColor="text1" w:themeTint="D9"/>
          <w:lang w:val="hu-HU"/>
        </w:rPr>
        <w:t>ttm</w:t>
      </w:r>
      <w:r>
        <w:rPr>
          <w:color w:val="262626" w:themeColor="text1" w:themeTint="D9"/>
          <w:lang w:val="hu-HU"/>
        </w:rPr>
        <w:t>ű</w:t>
      </w:r>
      <w:r w:rsidRPr="004E3D68">
        <w:rPr>
          <w:color w:val="262626" w:themeColor="text1" w:themeTint="D9"/>
          <w:lang w:val="hu-HU"/>
        </w:rPr>
        <w:t xml:space="preserve">ködésnek köszönhetünk. Az iroda működésének első fél éve során 1600 aktacsomót adtak le a helyiek, melyek 20%-át magánszemélyek kérései teszik ki, míg a többit autóforgalmazók, brókercégek állítottak össze. </w:t>
      </w:r>
    </w:p>
    <w:p w14:paraId="4B457B51" w14:textId="77777777" w:rsidR="004E3D68" w:rsidRPr="004E3D68" w:rsidRDefault="004E3D68" w:rsidP="004E3D68">
      <w:pPr>
        <w:jc w:val="both"/>
        <w:rPr>
          <w:b/>
          <w:bCs/>
          <w:color w:val="262626" w:themeColor="text1" w:themeTint="D9"/>
          <w:lang w:val="hu-HU"/>
        </w:rPr>
      </w:pPr>
      <w:r w:rsidRPr="004E3D68">
        <w:rPr>
          <w:b/>
          <w:bCs/>
          <w:color w:val="262626" w:themeColor="text1" w:themeTint="D9"/>
          <w:lang w:val="hu-HU"/>
        </w:rPr>
        <w:t xml:space="preserve">- </w:t>
      </w:r>
      <w:proofErr w:type="spellStart"/>
      <w:r w:rsidRPr="004E3D68">
        <w:rPr>
          <w:b/>
          <w:bCs/>
          <w:color w:val="262626" w:themeColor="text1" w:themeTint="D9"/>
          <w:lang w:val="hu-HU"/>
        </w:rPr>
        <w:t>Transgaz</w:t>
      </w:r>
      <w:proofErr w:type="spellEnd"/>
      <w:r w:rsidRPr="004E3D68">
        <w:rPr>
          <w:b/>
          <w:bCs/>
          <w:color w:val="262626" w:themeColor="text1" w:themeTint="D9"/>
          <w:lang w:val="hu-HU"/>
        </w:rPr>
        <w:t xml:space="preserve"> igazgatója Hargita megyébe látogatott.</w:t>
      </w:r>
    </w:p>
    <w:p w14:paraId="4398B52E" w14:textId="77777777" w:rsidR="004E3D68" w:rsidRPr="004E3D68" w:rsidRDefault="004E3D68" w:rsidP="004E3D68">
      <w:pPr>
        <w:jc w:val="both"/>
        <w:rPr>
          <w:color w:val="262626" w:themeColor="text1" w:themeTint="D9"/>
          <w:lang w:val="hu-HU"/>
        </w:rPr>
      </w:pPr>
      <w:r w:rsidRPr="004E3D68">
        <w:rPr>
          <w:color w:val="262626" w:themeColor="text1" w:themeTint="D9"/>
          <w:lang w:val="hu-HU"/>
        </w:rPr>
        <w:t xml:space="preserve">Meghívásomra </w:t>
      </w:r>
      <w:proofErr w:type="spellStart"/>
      <w:r w:rsidRPr="004E3D68">
        <w:rPr>
          <w:color w:val="262626" w:themeColor="text1" w:themeTint="D9"/>
          <w:lang w:val="hu-HU"/>
        </w:rPr>
        <w:t>Sterian</w:t>
      </w:r>
      <w:proofErr w:type="spellEnd"/>
      <w:r w:rsidRPr="004E3D68">
        <w:rPr>
          <w:color w:val="262626" w:themeColor="text1" w:themeTint="D9"/>
          <w:lang w:val="hu-HU"/>
        </w:rPr>
        <w:t xml:space="preserve"> Ion, a </w:t>
      </w:r>
      <w:proofErr w:type="spellStart"/>
      <w:r w:rsidRPr="004E3D68">
        <w:rPr>
          <w:color w:val="262626" w:themeColor="text1" w:themeTint="D9"/>
          <w:lang w:val="hu-HU"/>
        </w:rPr>
        <w:t>Transgaz</w:t>
      </w:r>
      <w:proofErr w:type="spellEnd"/>
      <w:r w:rsidRPr="004E3D68">
        <w:rPr>
          <w:color w:val="262626" w:themeColor="text1" w:themeTint="D9"/>
          <w:lang w:val="hu-HU"/>
        </w:rPr>
        <w:t xml:space="preserve"> vezérigazgatója Hargita megyében jelentette be az általuk pozitívan elbírált megvalósíthatósági terveket. Munkánk komoly eredményeként könyvelhetjük el, hogy a megye szempontjából stratégiai fontossággal bíró gázhálózati bővítésekre kerülhet sor, mint Borszék, </w:t>
      </w:r>
      <w:proofErr w:type="spellStart"/>
      <w:r w:rsidRPr="004E3D68">
        <w:rPr>
          <w:color w:val="262626" w:themeColor="text1" w:themeTint="D9"/>
          <w:lang w:val="hu-HU"/>
        </w:rPr>
        <w:t>Parajd</w:t>
      </w:r>
      <w:proofErr w:type="spellEnd"/>
      <w:r w:rsidRPr="004E3D68">
        <w:rPr>
          <w:color w:val="262626" w:themeColor="text1" w:themeTint="D9"/>
          <w:lang w:val="hu-HU"/>
        </w:rPr>
        <w:t xml:space="preserve">, Korond és környéke, </w:t>
      </w:r>
      <w:proofErr w:type="spellStart"/>
      <w:r w:rsidRPr="004E3D68">
        <w:rPr>
          <w:color w:val="262626" w:themeColor="text1" w:themeTint="D9"/>
          <w:lang w:val="hu-HU"/>
        </w:rPr>
        <w:t>Farkaslaka</w:t>
      </w:r>
      <w:proofErr w:type="spellEnd"/>
      <w:r w:rsidRPr="004E3D68">
        <w:rPr>
          <w:color w:val="262626" w:themeColor="text1" w:themeTint="D9"/>
          <w:lang w:val="hu-HU"/>
        </w:rPr>
        <w:t xml:space="preserve">, Etéd vagy akár </w:t>
      </w:r>
      <w:proofErr w:type="spellStart"/>
      <w:r w:rsidRPr="004E3D68">
        <w:rPr>
          <w:color w:val="262626" w:themeColor="text1" w:themeTint="D9"/>
          <w:lang w:val="hu-HU"/>
        </w:rPr>
        <w:t>Gyímesközéplok</w:t>
      </w:r>
      <w:proofErr w:type="spellEnd"/>
      <w:r w:rsidRPr="004E3D68">
        <w:rPr>
          <w:color w:val="262626" w:themeColor="text1" w:themeTint="D9"/>
          <w:lang w:val="hu-HU"/>
        </w:rPr>
        <w:t xml:space="preserve"> településeken. Csapatunk mindent megtesz, hogy a megvalósítási tervek mentén mindezen helyszíneken meg is valósuljon a beruházás, hiszen jelentős lépés lenne nem csupán a lakossági felhasználás, hanem a megye gazdasági fellendülése szempontjából egyaránt. </w:t>
      </w:r>
    </w:p>
    <w:p w14:paraId="47C1CDB6" w14:textId="77777777" w:rsidR="004E3D68" w:rsidRDefault="004E3D68" w:rsidP="004E3D68">
      <w:pPr>
        <w:jc w:val="both"/>
        <w:rPr>
          <w:color w:val="262626" w:themeColor="text1" w:themeTint="D9"/>
          <w:lang w:val="hu-HU"/>
        </w:rPr>
      </w:pPr>
      <w:r w:rsidRPr="004E3D68">
        <w:rPr>
          <w:color w:val="262626" w:themeColor="text1" w:themeTint="D9"/>
          <w:lang w:val="hu-HU"/>
        </w:rPr>
        <w:t>-</w:t>
      </w:r>
      <w:r w:rsidRPr="004E3D68">
        <w:rPr>
          <w:b/>
          <w:bCs/>
          <w:color w:val="262626" w:themeColor="text1" w:themeTint="D9"/>
          <w:lang w:val="hu-HU"/>
        </w:rPr>
        <w:t xml:space="preserve">Tánczos Barna </w:t>
      </w:r>
      <w:proofErr w:type="spellStart"/>
      <w:r w:rsidRPr="004E3D68">
        <w:rPr>
          <w:b/>
          <w:bCs/>
          <w:color w:val="262626" w:themeColor="text1" w:themeTint="D9"/>
          <w:lang w:val="hu-HU"/>
        </w:rPr>
        <w:t>Környezetvédelmi</w:t>
      </w:r>
      <w:proofErr w:type="spellEnd"/>
      <w:r w:rsidRPr="004E3D68">
        <w:rPr>
          <w:b/>
          <w:bCs/>
          <w:color w:val="262626" w:themeColor="text1" w:themeTint="D9"/>
          <w:lang w:val="hu-HU"/>
        </w:rPr>
        <w:t xml:space="preserve">, </w:t>
      </w:r>
      <w:proofErr w:type="spellStart"/>
      <w:r w:rsidRPr="004E3D68">
        <w:rPr>
          <w:b/>
          <w:bCs/>
          <w:color w:val="262626" w:themeColor="text1" w:themeTint="D9"/>
          <w:lang w:val="hu-HU"/>
        </w:rPr>
        <w:t>Vízügyi</w:t>
      </w:r>
      <w:proofErr w:type="spellEnd"/>
      <w:r w:rsidRPr="004E3D68">
        <w:rPr>
          <w:b/>
          <w:bCs/>
          <w:color w:val="262626" w:themeColor="text1" w:themeTint="D9"/>
          <w:lang w:val="hu-HU"/>
        </w:rPr>
        <w:t xml:space="preserve"> </w:t>
      </w:r>
      <w:proofErr w:type="spellStart"/>
      <w:r w:rsidRPr="004E3D68">
        <w:rPr>
          <w:b/>
          <w:bCs/>
          <w:color w:val="262626" w:themeColor="text1" w:themeTint="D9"/>
          <w:lang w:val="hu-HU"/>
        </w:rPr>
        <w:t>és</w:t>
      </w:r>
      <w:proofErr w:type="spellEnd"/>
      <w:r w:rsidRPr="004E3D68">
        <w:rPr>
          <w:b/>
          <w:bCs/>
          <w:color w:val="262626" w:themeColor="text1" w:themeTint="D9"/>
          <w:lang w:val="hu-HU"/>
        </w:rPr>
        <w:t xml:space="preserve"> </w:t>
      </w:r>
      <w:proofErr w:type="spellStart"/>
      <w:r w:rsidRPr="004E3D68">
        <w:rPr>
          <w:b/>
          <w:bCs/>
          <w:color w:val="262626" w:themeColor="text1" w:themeTint="D9"/>
          <w:lang w:val="hu-HU"/>
        </w:rPr>
        <w:t>Erdészeti</w:t>
      </w:r>
      <w:proofErr w:type="spellEnd"/>
      <w:r w:rsidRPr="004E3D68">
        <w:rPr>
          <w:b/>
          <w:bCs/>
          <w:color w:val="262626" w:themeColor="text1" w:themeTint="D9"/>
          <w:lang w:val="hu-HU"/>
        </w:rPr>
        <w:t xml:space="preserve"> miniszter meghívásomra Udvarhelyszéken tett látogatást.</w:t>
      </w:r>
      <w:r w:rsidRPr="004E3D68">
        <w:rPr>
          <w:color w:val="262626" w:themeColor="text1" w:themeTint="D9"/>
          <w:lang w:val="hu-HU"/>
        </w:rPr>
        <w:t xml:space="preserve"> Kiemelten a környezetvédelmi témakörök mentén mutattuk be számára a térség aktuális helyzetét. Büszkén mutathattuk be, hogy Udvarhelyszéken olyan vállalkozások vannak, amelyek példát statuálnak az országnak környezetvédelmi szempontból és már felkészültek az EU-s direktíva gyakorlatba ültetésére, környezettudatos szemlélet mentén folytatják a tevékenységüket. A széki polgármesterekkel való konzultációnak a fő témáját adta az erre irányuló kormányprogramba foglaltak ismertetése, melynek megvalósítása érdekében a Tánczos Barna által vezetett környezetvédelmi szaktárca 1 milliárd eurót különített el az Országos </w:t>
      </w:r>
    </w:p>
    <w:p w14:paraId="4AAE2E83" w14:textId="77777777" w:rsidR="004E3D68" w:rsidRDefault="004E3D68" w:rsidP="004E3D68">
      <w:pPr>
        <w:jc w:val="both"/>
        <w:rPr>
          <w:color w:val="262626" w:themeColor="text1" w:themeTint="D9"/>
          <w:lang w:val="hu-HU"/>
        </w:rPr>
      </w:pPr>
    </w:p>
    <w:p w14:paraId="57ACFA8F" w14:textId="77777777" w:rsidR="004E3D68" w:rsidRDefault="004E3D68" w:rsidP="004E3D68">
      <w:pPr>
        <w:jc w:val="both"/>
        <w:rPr>
          <w:color w:val="262626" w:themeColor="text1" w:themeTint="D9"/>
          <w:lang w:val="hu-HU"/>
        </w:rPr>
      </w:pPr>
    </w:p>
    <w:p w14:paraId="208AD509" w14:textId="77777777" w:rsidR="004E3D68" w:rsidRDefault="004E3D68" w:rsidP="004E3D68">
      <w:pPr>
        <w:jc w:val="both"/>
        <w:rPr>
          <w:color w:val="262626" w:themeColor="text1" w:themeTint="D9"/>
          <w:lang w:val="hu-HU"/>
        </w:rPr>
      </w:pPr>
    </w:p>
    <w:p w14:paraId="014A50A4" w14:textId="77777777" w:rsidR="004E3D68" w:rsidRDefault="004E3D68" w:rsidP="004E3D68">
      <w:pPr>
        <w:jc w:val="both"/>
        <w:rPr>
          <w:color w:val="262626" w:themeColor="text1" w:themeTint="D9"/>
          <w:lang w:val="hu-HU"/>
        </w:rPr>
      </w:pPr>
    </w:p>
    <w:p w14:paraId="123BB25D" w14:textId="77777777" w:rsidR="004E3D68" w:rsidRDefault="004E3D68" w:rsidP="004E3D68">
      <w:pPr>
        <w:jc w:val="both"/>
        <w:rPr>
          <w:color w:val="262626" w:themeColor="text1" w:themeTint="D9"/>
          <w:lang w:val="hu-HU"/>
        </w:rPr>
      </w:pPr>
    </w:p>
    <w:p w14:paraId="1A401971" w14:textId="77777777" w:rsidR="004E3D68" w:rsidRDefault="004E3D68" w:rsidP="004E3D68">
      <w:pPr>
        <w:jc w:val="both"/>
        <w:rPr>
          <w:color w:val="262626" w:themeColor="text1" w:themeTint="D9"/>
          <w:lang w:val="hu-HU"/>
        </w:rPr>
      </w:pPr>
    </w:p>
    <w:p w14:paraId="7000200E" w14:textId="77777777" w:rsidR="004E3D68" w:rsidRDefault="004E3D68" w:rsidP="004E3D68">
      <w:pPr>
        <w:jc w:val="both"/>
        <w:rPr>
          <w:color w:val="262626" w:themeColor="text1" w:themeTint="D9"/>
          <w:lang w:val="hu-HU"/>
        </w:rPr>
      </w:pPr>
    </w:p>
    <w:p w14:paraId="11A91446" w14:textId="77777777" w:rsidR="004E3D68" w:rsidRDefault="004E3D68" w:rsidP="004E3D68">
      <w:pPr>
        <w:jc w:val="both"/>
        <w:rPr>
          <w:color w:val="262626" w:themeColor="text1" w:themeTint="D9"/>
          <w:lang w:val="hu-HU"/>
        </w:rPr>
      </w:pPr>
    </w:p>
    <w:p w14:paraId="546B8EFC" w14:textId="4FDAA2EC" w:rsidR="004E3D68" w:rsidRPr="004E3D68" w:rsidRDefault="004E3D68" w:rsidP="004E3D68">
      <w:pPr>
        <w:jc w:val="both"/>
        <w:rPr>
          <w:color w:val="262626" w:themeColor="text1" w:themeTint="D9"/>
          <w:lang w:val="hu-HU"/>
        </w:rPr>
      </w:pPr>
      <w:r w:rsidRPr="004E3D68">
        <w:rPr>
          <w:color w:val="262626" w:themeColor="text1" w:themeTint="D9"/>
          <w:lang w:val="hu-HU"/>
        </w:rPr>
        <w:t xml:space="preserve">Helyreállítási és </w:t>
      </w:r>
      <w:proofErr w:type="spellStart"/>
      <w:r w:rsidRPr="004E3D68">
        <w:rPr>
          <w:color w:val="262626" w:themeColor="text1" w:themeTint="D9"/>
          <w:lang w:val="hu-HU"/>
        </w:rPr>
        <w:t>Reziliencia</w:t>
      </w:r>
      <w:proofErr w:type="spellEnd"/>
      <w:r w:rsidRPr="004E3D68">
        <w:rPr>
          <w:color w:val="262626" w:themeColor="text1" w:themeTint="D9"/>
          <w:lang w:val="hu-HU"/>
        </w:rPr>
        <w:t>- építési Tervből (PNRR) a víz- és szennyvízhálózatok kiépítésére, és 318 millió eurót a Nagy Infrastruktúra Operatív Programból (POIM) erre a célra.</w:t>
      </w:r>
    </w:p>
    <w:p w14:paraId="3D593B41" w14:textId="77777777" w:rsidR="004E3D68" w:rsidRPr="004E3D68" w:rsidRDefault="004E3D68" w:rsidP="004E3D68">
      <w:pPr>
        <w:jc w:val="both"/>
        <w:rPr>
          <w:color w:val="262626" w:themeColor="text1" w:themeTint="D9"/>
          <w:lang w:val="hu-HU"/>
        </w:rPr>
      </w:pPr>
      <w:r w:rsidRPr="004E3D68">
        <w:rPr>
          <w:b/>
          <w:bCs/>
          <w:color w:val="262626" w:themeColor="text1" w:themeTint="D9"/>
          <w:lang w:val="hu-HU"/>
        </w:rPr>
        <w:t>- „Medvekaraván</w:t>
      </w:r>
      <w:proofErr w:type="gramStart"/>
      <w:r w:rsidRPr="004E3D68">
        <w:rPr>
          <w:b/>
          <w:bCs/>
          <w:color w:val="262626" w:themeColor="text1" w:themeTint="D9"/>
          <w:lang w:val="hu-HU"/>
        </w:rPr>
        <w:t>”</w:t>
      </w:r>
      <w:r w:rsidRPr="004E3D68">
        <w:rPr>
          <w:color w:val="262626" w:themeColor="text1" w:themeTint="D9"/>
          <w:lang w:val="hu-HU"/>
        </w:rPr>
        <w:t xml:space="preserve"> :</w:t>
      </w:r>
      <w:proofErr w:type="gramEnd"/>
      <w:r w:rsidRPr="004E3D68">
        <w:rPr>
          <w:color w:val="262626" w:themeColor="text1" w:themeTint="D9"/>
          <w:lang w:val="hu-HU"/>
        </w:rPr>
        <w:t xml:space="preserve"> Sajtókörutat szerveztünk a központi román sajtósok számára. Három nap, három megyében: szakemberek, károsultak, áldozatok mind megszólaltak. A központi sajtó képviselőit szembesítettük a Székely valósággal. Az esemény célja volt, hogy a bukaresti román média egy objektív, hiteles és élethű képet alkothasson az ezekben a megyékben történt medvetámadásokról. Ebben a pár napban a média képviselőinek alkalmuk adódott elbeszélgetni a helyi közösség tagjaival, azokkal az emberekkel, akik évek óta küzdenek a medve problémával, és évek óta féltik életük és javaik.</w:t>
      </w:r>
    </w:p>
    <w:p w14:paraId="2343010F" w14:textId="77777777" w:rsidR="004E3D68" w:rsidRPr="004E3D68" w:rsidRDefault="004E3D68" w:rsidP="004E3D68">
      <w:pPr>
        <w:jc w:val="both"/>
        <w:rPr>
          <w:color w:val="262626" w:themeColor="text1" w:themeTint="D9"/>
          <w:lang w:val="hu-HU"/>
        </w:rPr>
      </w:pPr>
      <w:r w:rsidRPr="004E3D68">
        <w:rPr>
          <w:b/>
          <w:bCs/>
          <w:color w:val="262626" w:themeColor="text1" w:themeTint="D9"/>
          <w:lang w:val="hu-HU"/>
        </w:rPr>
        <w:t>- Lakossági megkereséseket mind komolyan véve sikerült közel másfél évtizedes villamosenergiai gondokat is megoldanom</w:t>
      </w:r>
      <w:r w:rsidRPr="004E3D68">
        <w:rPr>
          <w:color w:val="262626" w:themeColor="text1" w:themeTint="D9"/>
          <w:lang w:val="hu-HU"/>
        </w:rPr>
        <w:t xml:space="preserve">: Székelyszenttamáson 17 év várakozás, az illetékes szervek tétlenségét követően, közbenjárásomra már az ott élők is élvezhetik a 21. századi élet elengedhetetlen, alap szolgáltatását: a villanyáramot. </w:t>
      </w:r>
    </w:p>
    <w:p w14:paraId="5C8C6B1F" w14:textId="64E0B43D" w:rsidR="004E3D68" w:rsidRPr="004E3D68" w:rsidRDefault="004E3D68" w:rsidP="004E3D68">
      <w:pPr>
        <w:jc w:val="both"/>
        <w:rPr>
          <w:color w:val="262626" w:themeColor="text1" w:themeTint="D9"/>
          <w:lang w:val="hu-HU"/>
        </w:rPr>
      </w:pPr>
      <w:r w:rsidRPr="004E3D68">
        <w:rPr>
          <w:b/>
          <w:bCs/>
          <w:color w:val="262626" w:themeColor="text1" w:themeTint="D9"/>
          <w:lang w:val="hu-HU"/>
        </w:rPr>
        <w:t xml:space="preserve">- A gázhálózatok korszerűsítéséért összeállt a Gordon–Küküllő </w:t>
      </w:r>
      <w:r w:rsidRPr="004E3D68">
        <w:rPr>
          <w:b/>
          <w:bCs/>
          <w:color w:val="262626" w:themeColor="text1" w:themeTint="D9"/>
          <w:lang w:val="hu-HU"/>
        </w:rPr>
        <w:t>Önkormányzati</w:t>
      </w:r>
      <w:r w:rsidRPr="004E3D68">
        <w:rPr>
          <w:b/>
          <w:bCs/>
          <w:color w:val="262626" w:themeColor="text1" w:themeTint="D9"/>
          <w:lang w:val="hu-HU"/>
        </w:rPr>
        <w:t xml:space="preserve"> Fejlesztési Társulás (ADI),</w:t>
      </w:r>
      <w:r w:rsidRPr="004E3D68">
        <w:rPr>
          <w:color w:val="262626" w:themeColor="text1" w:themeTint="D9"/>
          <w:lang w:val="hu-HU"/>
        </w:rPr>
        <w:t xml:space="preserve"> amelynek feladata az udvarhelyszéki gázhálózat</w:t>
      </w:r>
      <w:r w:rsidR="008768AC">
        <w:rPr>
          <w:color w:val="262626" w:themeColor="text1" w:themeTint="D9"/>
          <w:lang w:val="hu-HU"/>
        </w:rPr>
        <w:t xml:space="preserve"> fejlesztés</w:t>
      </w:r>
      <w:r w:rsidR="00354399">
        <w:rPr>
          <w:color w:val="262626" w:themeColor="text1" w:themeTint="D9"/>
          <w:lang w:val="hu-HU"/>
        </w:rPr>
        <w:t>ének,</w:t>
      </w:r>
      <w:r w:rsidRPr="004E3D68">
        <w:rPr>
          <w:color w:val="262626" w:themeColor="text1" w:themeTint="D9"/>
          <w:lang w:val="hu-HU"/>
        </w:rPr>
        <w:t xml:space="preserve"> felújításának kérdését 4-6 éves időtartamon belül megoldani. </w:t>
      </w:r>
    </w:p>
    <w:p w14:paraId="11F679D4" w14:textId="77777777" w:rsidR="004E3D68" w:rsidRPr="004E3D68" w:rsidRDefault="004E3D68" w:rsidP="004E3D68">
      <w:pPr>
        <w:jc w:val="both"/>
        <w:rPr>
          <w:color w:val="262626" w:themeColor="text1" w:themeTint="D9"/>
          <w:lang w:val="hu-HU"/>
        </w:rPr>
      </w:pPr>
      <w:r w:rsidRPr="004E3D68">
        <w:rPr>
          <w:color w:val="262626" w:themeColor="text1" w:themeTint="D9"/>
          <w:lang w:val="hu-HU"/>
        </w:rPr>
        <w:t xml:space="preserve">Aktuális helyzet az Udvarhelyszéki gázhálózat kapcsán: 126 településből mindössze 25-ben van bevezetve a földgáz, a térség 50,845 háztartásából jelenleg 9660 gáz-felhasználó. </w:t>
      </w:r>
    </w:p>
    <w:p w14:paraId="37AC6D44" w14:textId="77777777" w:rsidR="004E3D68" w:rsidRPr="004E3D68" w:rsidRDefault="004E3D68" w:rsidP="004E3D68">
      <w:pPr>
        <w:jc w:val="both"/>
        <w:rPr>
          <w:color w:val="262626" w:themeColor="text1" w:themeTint="D9"/>
          <w:lang w:val="hu-HU"/>
        </w:rPr>
      </w:pPr>
    </w:p>
    <w:p w14:paraId="6CE8ACD5" w14:textId="77777777" w:rsidR="004E3D68" w:rsidRPr="004E3D68" w:rsidRDefault="004E3D68" w:rsidP="004E3D68">
      <w:pPr>
        <w:jc w:val="center"/>
        <w:rPr>
          <w:b/>
          <w:bCs/>
          <w:color w:val="262626" w:themeColor="text1" w:themeTint="D9"/>
          <w:lang w:val="hu-HU"/>
        </w:rPr>
      </w:pPr>
      <w:r w:rsidRPr="004E3D68">
        <w:rPr>
          <w:b/>
          <w:bCs/>
          <w:color w:val="262626" w:themeColor="text1" w:themeTint="D9"/>
          <w:lang w:val="hu-HU"/>
        </w:rPr>
        <w:t>- 2021 számokban –</w:t>
      </w:r>
    </w:p>
    <w:p w14:paraId="353B4D22" w14:textId="77777777" w:rsidR="004E3D68" w:rsidRPr="004E3D68" w:rsidRDefault="004E3D68" w:rsidP="004E3D68">
      <w:pPr>
        <w:jc w:val="both"/>
        <w:rPr>
          <w:color w:val="262626" w:themeColor="text1" w:themeTint="D9"/>
          <w:lang w:val="hu-HU"/>
        </w:rPr>
      </w:pPr>
    </w:p>
    <w:p w14:paraId="3F0ADE9A" w14:textId="77777777" w:rsidR="004E3D68" w:rsidRPr="004E3D68" w:rsidRDefault="004E3D68" w:rsidP="004E3D68">
      <w:pPr>
        <w:jc w:val="both"/>
        <w:rPr>
          <w:color w:val="262626" w:themeColor="text1" w:themeTint="D9"/>
          <w:lang w:val="hu-HU"/>
        </w:rPr>
      </w:pPr>
      <w:r w:rsidRPr="004E3D68">
        <w:rPr>
          <w:color w:val="262626" w:themeColor="text1" w:themeTint="D9"/>
          <w:lang w:val="hu-HU"/>
        </w:rPr>
        <w:t>Kommunikáció</w:t>
      </w:r>
    </w:p>
    <w:p w14:paraId="1F0A9E34" w14:textId="77777777" w:rsidR="004E3D68" w:rsidRPr="004E3D68" w:rsidRDefault="004E3D68" w:rsidP="004E3D68">
      <w:pPr>
        <w:jc w:val="both"/>
        <w:rPr>
          <w:color w:val="262626" w:themeColor="text1" w:themeTint="D9"/>
          <w:lang w:val="hu-HU"/>
        </w:rPr>
      </w:pPr>
      <w:r w:rsidRPr="004E3D68">
        <w:rPr>
          <w:color w:val="262626" w:themeColor="text1" w:themeTint="D9"/>
          <w:lang w:val="hu-HU"/>
        </w:rPr>
        <w:t>•</w:t>
      </w:r>
      <w:r w:rsidRPr="004E3D68">
        <w:rPr>
          <w:color w:val="262626" w:themeColor="text1" w:themeTint="D9"/>
          <w:lang w:val="hu-HU"/>
        </w:rPr>
        <w:tab/>
        <w:t>10k + Facebook követő</w:t>
      </w:r>
    </w:p>
    <w:p w14:paraId="7563E5B6" w14:textId="77777777" w:rsidR="004E3D68" w:rsidRPr="004E3D68" w:rsidRDefault="004E3D68" w:rsidP="004E3D68">
      <w:pPr>
        <w:jc w:val="both"/>
        <w:rPr>
          <w:color w:val="262626" w:themeColor="text1" w:themeTint="D9"/>
          <w:lang w:val="hu-HU"/>
        </w:rPr>
      </w:pPr>
      <w:r w:rsidRPr="004E3D68">
        <w:rPr>
          <w:color w:val="262626" w:themeColor="text1" w:themeTint="D9"/>
          <w:lang w:val="hu-HU"/>
        </w:rPr>
        <w:t>•</w:t>
      </w:r>
      <w:r w:rsidRPr="004E3D68">
        <w:rPr>
          <w:color w:val="262626" w:themeColor="text1" w:themeTint="D9"/>
          <w:lang w:val="hu-HU"/>
        </w:rPr>
        <w:tab/>
        <w:t>414 Facebook közlemény</w:t>
      </w:r>
    </w:p>
    <w:p w14:paraId="1470797F" w14:textId="77777777" w:rsidR="004E3D68" w:rsidRPr="004E3D68" w:rsidRDefault="004E3D68" w:rsidP="004E3D68">
      <w:pPr>
        <w:jc w:val="both"/>
        <w:rPr>
          <w:color w:val="262626" w:themeColor="text1" w:themeTint="D9"/>
          <w:lang w:val="hu-HU"/>
        </w:rPr>
      </w:pPr>
      <w:r w:rsidRPr="004E3D68">
        <w:rPr>
          <w:color w:val="262626" w:themeColor="text1" w:themeTint="D9"/>
          <w:lang w:val="hu-HU"/>
        </w:rPr>
        <w:t>•</w:t>
      </w:r>
      <w:r w:rsidRPr="004E3D68">
        <w:rPr>
          <w:color w:val="262626" w:themeColor="text1" w:themeTint="D9"/>
          <w:lang w:val="hu-HU"/>
        </w:rPr>
        <w:tab/>
        <w:t xml:space="preserve">162 hivatalos, tájékoztató levél </w:t>
      </w:r>
    </w:p>
    <w:p w14:paraId="39F1B2B6" w14:textId="77777777" w:rsidR="004E3D68" w:rsidRPr="004E3D68" w:rsidRDefault="004E3D68" w:rsidP="004E3D68">
      <w:pPr>
        <w:jc w:val="both"/>
        <w:rPr>
          <w:color w:val="262626" w:themeColor="text1" w:themeTint="D9"/>
          <w:lang w:val="hu-HU"/>
        </w:rPr>
      </w:pPr>
      <w:r w:rsidRPr="004E3D68">
        <w:rPr>
          <w:color w:val="262626" w:themeColor="text1" w:themeTint="D9"/>
          <w:lang w:val="hu-HU"/>
        </w:rPr>
        <w:t>•</w:t>
      </w:r>
      <w:r w:rsidRPr="004E3D68">
        <w:rPr>
          <w:color w:val="262626" w:themeColor="text1" w:themeTint="D9"/>
          <w:lang w:val="hu-HU"/>
        </w:rPr>
        <w:tab/>
        <w:t>101 sajtómegjelenés</w:t>
      </w:r>
    </w:p>
    <w:p w14:paraId="0861C517" w14:textId="77777777" w:rsidR="004E3D68" w:rsidRPr="004E3D68" w:rsidRDefault="004E3D68" w:rsidP="004E3D68">
      <w:pPr>
        <w:jc w:val="both"/>
        <w:rPr>
          <w:color w:val="262626" w:themeColor="text1" w:themeTint="D9"/>
          <w:lang w:val="hu-HU"/>
        </w:rPr>
      </w:pPr>
    </w:p>
    <w:p w14:paraId="29D2B615" w14:textId="77777777" w:rsidR="004E3D68" w:rsidRPr="004E3D68" w:rsidRDefault="004E3D68" w:rsidP="004E3D68">
      <w:pPr>
        <w:jc w:val="both"/>
        <w:rPr>
          <w:color w:val="262626" w:themeColor="text1" w:themeTint="D9"/>
          <w:lang w:val="hu-HU"/>
        </w:rPr>
      </w:pPr>
      <w:r w:rsidRPr="004E3D68">
        <w:rPr>
          <w:color w:val="262626" w:themeColor="text1" w:themeTint="D9"/>
          <w:lang w:val="hu-HU"/>
        </w:rPr>
        <w:t>Kapcsolattartás</w:t>
      </w:r>
    </w:p>
    <w:p w14:paraId="13A01C59" w14:textId="77777777" w:rsidR="004E3D68" w:rsidRPr="004E3D68" w:rsidRDefault="004E3D68" w:rsidP="004E3D68">
      <w:pPr>
        <w:jc w:val="both"/>
        <w:rPr>
          <w:color w:val="262626" w:themeColor="text1" w:themeTint="D9"/>
          <w:lang w:val="hu-HU"/>
        </w:rPr>
      </w:pPr>
    </w:p>
    <w:p w14:paraId="006C3836" w14:textId="77777777" w:rsidR="004E3D68" w:rsidRPr="004E3D68" w:rsidRDefault="004E3D68" w:rsidP="004E3D68">
      <w:pPr>
        <w:jc w:val="both"/>
        <w:rPr>
          <w:color w:val="262626" w:themeColor="text1" w:themeTint="D9"/>
          <w:lang w:val="hu-HU"/>
        </w:rPr>
      </w:pPr>
      <w:r w:rsidRPr="004E3D68">
        <w:rPr>
          <w:color w:val="262626" w:themeColor="text1" w:themeTint="D9"/>
          <w:lang w:val="hu-HU"/>
        </w:rPr>
        <w:t>•</w:t>
      </w:r>
      <w:r w:rsidRPr="004E3D68">
        <w:rPr>
          <w:color w:val="262626" w:themeColor="text1" w:themeTint="D9"/>
          <w:lang w:val="hu-HU"/>
        </w:rPr>
        <w:tab/>
        <w:t>68 hazai, nemzetközi eseményen való részvétel</w:t>
      </w:r>
    </w:p>
    <w:p w14:paraId="52B513BB" w14:textId="77777777" w:rsidR="004E3D68" w:rsidRPr="004E3D68" w:rsidRDefault="004E3D68" w:rsidP="004E3D68">
      <w:pPr>
        <w:jc w:val="both"/>
        <w:rPr>
          <w:color w:val="262626" w:themeColor="text1" w:themeTint="D9"/>
          <w:lang w:val="hu-HU"/>
        </w:rPr>
      </w:pPr>
      <w:r w:rsidRPr="004E3D68">
        <w:rPr>
          <w:color w:val="262626" w:themeColor="text1" w:themeTint="D9"/>
          <w:lang w:val="hu-HU"/>
        </w:rPr>
        <w:t>•</w:t>
      </w:r>
      <w:r w:rsidRPr="004E3D68">
        <w:rPr>
          <w:color w:val="262626" w:themeColor="text1" w:themeTint="D9"/>
          <w:lang w:val="hu-HU"/>
        </w:rPr>
        <w:tab/>
        <w:t>121 személyes fogadóóra</w:t>
      </w:r>
    </w:p>
    <w:p w14:paraId="07C2DBE8" w14:textId="77777777" w:rsidR="004E3D68" w:rsidRPr="004E3D68" w:rsidRDefault="004E3D68" w:rsidP="004E3D68">
      <w:pPr>
        <w:jc w:val="both"/>
        <w:rPr>
          <w:color w:val="262626" w:themeColor="text1" w:themeTint="D9"/>
          <w:lang w:val="hu-HU"/>
        </w:rPr>
      </w:pPr>
      <w:r w:rsidRPr="004E3D68">
        <w:rPr>
          <w:color w:val="262626" w:themeColor="text1" w:themeTint="D9"/>
          <w:lang w:val="hu-HU"/>
        </w:rPr>
        <w:t>•</w:t>
      </w:r>
      <w:r w:rsidRPr="004E3D68">
        <w:rPr>
          <w:color w:val="262626" w:themeColor="text1" w:themeTint="D9"/>
          <w:lang w:val="hu-HU"/>
        </w:rPr>
        <w:tab/>
        <w:t>25 udvarhelyszéki önkormányzati látogatás</w:t>
      </w:r>
    </w:p>
    <w:p w14:paraId="597B1298" w14:textId="77777777" w:rsidR="004E3D68" w:rsidRPr="004E3D68" w:rsidRDefault="004E3D68" w:rsidP="004E3D68">
      <w:pPr>
        <w:jc w:val="both"/>
        <w:rPr>
          <w:color w:val="262626" w:themeColor="text1" w:themeTint="D9"/>
          <w:lang w:val="hu-HU"/>
        </w:rPr>
      </w:pPr>
      <w:r w:rsidRPr="004E3D68">
        <w:rPr>
          <w:color w:val="262626" w:themeColor="text1" w:themeTint="D9"/>
          <w:lang w:val="hu-HU"/>
        </w:rPr>
        <w:t>•</w:t>
      </w:r>
      <w:r w:rsidRPr="004E3D68">
        <w:rPr>
          <w:color w:val="262626" w:themeColor="text1" w:themeTint="D9"/>
          <w:lang w:val="hu-HU"/>
        </w:rPr>
        <w:tab/>
        <w:t xml:space="preserve">5 </w:t>
      </w:r>
      <w:proofErr w:type="spellStart"/>
      <w:r w:rsidRPr="004E3D68">
        <w:rPr>
          <w:color w:val="262626" w:themeColor="text1" w:themeTint="D9"/>
          <w:lang w:val="hu-HU"/>
        </w:rPr>
        <w:t>gyergyószéki</w:t>
      </w:r>
      <w:proofErr w:type="spellEnd"/>
      <w:r w:rsidRPr="004E3D68">
        <w:rPr>
          <w:color w:val="262626" w:themeColor="text1" w:themeTint="D9"/>
          <w:lang w:val="hu-HU"/>
        </w:rPr>
        <w:t xml:space="preserve"> önkormányzati látogatás</w:t>
      </w:r>
    </w:p>
    <w:p w14:paraId="61853DB7" w14:textId="77777777" w:rsidR="004E3D68" w:rsidRPr="004E3D68" w:rsidRDefault="004E3D68" w:rsidP="004E3D68">
      <w:pPr>
        <w:jc w:val="both"/>
        <w:rPr>
          <w:color w:val="262626" w:themeColor="text1" w:themeTint="D9"/>
          <w:lang w:val="hu-HU"/>
        </w:rPr>
      </w:pPr>
    </w:p>
    <w:p w14:paraId="4F9D6FEB" w14:textId="77777777" w:rsidR="004E3D68" w:rsidRPr="004E3D68" w:rsidRDefault="004E3D68" w:rsidP="004E3D68">
      <w:pPr>
        <w:jc w:val="both"/>
        <w:rPr>
          <w:color w:val="262626" w:themeColor="text1" w:themeTint="D9"/>
          <w:lang w:val="hu-HU"/>
        </w:rPr>
      </w:pPr>
      <w:r w:rsidRPr="004E3D68">
        <w:rPr>
          <w:color w:val="262626" w:themeColor="text1" w:themeTint="D9"/>
          <w:lang w:val="hu-HU"/>
        </w:rPr>
        <w:t>Parlamenti tevékenység</w:t>
      </w:r>
    </w:p>
    <w:p w14:paraId="65DB6D6D" w14:textId="77777777" w:rsidR="004E3D68" w:rsidRPr="004E3D68" w:rsidRDefault="004E3D68" w:rsidP="004E3D68">
      <w:pPr>
        <w:jc w:val="both"/>
        <w:rPr>
          <w:color w:val="262626" w:themeColor="text1" w:themeTint="D9"/>
          <w:lang w:val="hu-HU"/>
        </w:rPr>
      </w:pPr>
    </w:p>
    <w:p w14:paraId="2E01CD62" w14:textId="77777777" w:rsidR="004E3D68" w:rsidRPr="004E3D68" w:rsidRDefault="004E3D68" w:rsidP="004E3D68">
      <w:pPr>
        <w:jc w:val="both"/>
        <w:rPr>
          <w:color w:val="262626" w:themeColor="text1" w:themeTint="D9"/>
          <w:lang w:val="hu-HU"/>
        </w:rPr>
      </w:pPr>
      <w:r w:rsidRPr="004E3D68">
        <w:rPr>
          <w:color w:val="262626" w:themeColor="text1" w:themeTint="D9"/>
          <w:lang w:val="hu-HU"/>
        </w:rPr>
        <w:t>•</w:t>
      </w:r>
      <w:r w:rsidRPr="004E3D68">
        <w:rPr>
          <w:color w:val="262626" w:themeColor="text1" w:themeTint="D9"/>
          <w:lang w:val="hu-HU"/>
        </w:rPr>
        <w:tab/>
        <w:t>10 aláírt törvénytervezet kezdeményezés</w:t>
      </w:r>
    </w:p>
    <w:p w14:paraId="1630F9D4" w14:textId="77777777" w:rsidR="004E3D68" w:rsidRPr="004E3D68" w:rsidRDefault="004E3D68" w:rsidP="004E3D68">
      <w:pPr>
        <w:jc w:val="both"/>
        <w:rPr>
          <w:color w:val="262626" w:themeColor="text1" w:themeTint="D9"/>
          <w:lang w:val="hu-HU"/>
        </w:rPr>
      </w:pPr>
      <w:r w:rsidRPr="004E3D68">
        <w:rPr>
          <w:color w:val="262626" w:themeColor="text1" w:themeTint="D9"/>
          <w:lang w:val="hu-HU"/>
        </w:rPr>
        <w:t>•</w:t>
      </w:r>
      <w:r w:rsidRPr="004E3D68">
        <w:rPr>
          <w:color w:val="262626" w:themeColor="text1" w:themeTint="D9"/>
          <w:lang w:val="hu-HU"/>
        </w:rPr>
        <w:tab/>
        <w:t>10 parlamenti felszólalás</w:t>
      </w:r>
    </w:p>
    <w:p w14:paraId="6FECE998" w14:textId="77777777" w:rsidR="004E3D68" w:rsidRPr="004E3D68" w:rsidRDefault="004E3D68" w:rsidP="004E3D68">
      <w:pPr>
        <w:jc w:val="both"/>
        <w:rPr>
          <w:color w:val="262626" w:themeColor="text1" w:themeTint="D9"/>
          <w:lang w:val="hu-HU"/>
        </w:rPr>
      </w:pPr>
      <w:r w:rsidRPr="004E3D68">
        <w:rPr>
          <w:color w:val="262626" w:themeColor="text1" w:themeTint="D9"/>
          <w:lang w:val="hu-HU"/>
        </w:rPr>
        <w:tab/>
      </w:r>
      <w:r w:rsidRPr="004E3D68">
        <w:rPr>
          <w:color w:val="262626" w:themeColor="text1" w:themeTint="D9"/>
          <w:lang w:val="hu-HU"/>
        </w:rPr>
        <w:tab/>
      </w:r>
      <w:r w:rsidRPr="004E3D68">
        <w:rPr>
          <w:color w:val="262626" w:themeColor="text1" w:themeTint="D9"/>
          <w:lang w:val="hu-HU"/>
        </w:rPr>
        <w:tab/>
      </w:r>
      <w:r w:rsidRPr="004E3D68">
        <w:rPr>
          <w:color w:val="262626" w:themeColor="text1" w:themeTint="D9"/>
          <w:lang w:val="hu-HU"/>
        </w:rPr>
        <w:tab/>
      </w:r>
      <w:r w:rsidRPr="004E3D68">
        <w:rPr>
          <w:color w:val="262626" w:themeColor="text1" w:themeTint="D9"/>
          <w:lang w:val="hu-HU"/>
        </w:rPr>
        <w:tab/>
      </w:r>
    </w:p>
    <w:p w14:paraId="1EA37265" w14:textId="03C65B21" w:rsidR="00381E4E" w:rsidRPr="004E3D68" w:rsidRDefault="00381E4E" w:rsidP="00AD5F81">
      <w:pPr>
        <w:jc w:val="both"/>
        <w:rPr>
          <w:color w:val="262626" w:themeColor="text1" w:themeTint="D9"/>
          <w:lang w:val="hu-HU"/>
        </w:rPr>
      </w:pPr>
    </w:p>
    <w:sectPr w:rsidR="00381E4E" w:rsidRPr="004E3D68">
      <w:headerReference w:type="default" r:id="rId7"/>
      <w:footerReference w:type="default" r:id="rId8"/>
      <w:endnotePr>
        <w:numFmt w:val="decimal"/>
      </w:endnotePr>
      <w:pgSz w:w="11906" w:h="16838"/>
      <w:pgMar w:top="1440" w:right="1440" w:bottom="1440" w:left="1440" w:header="9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C109" w14:textId="77777777" w:rsidR="003D311B" w:rsidRDefault="003D311B">
      <w:r>
        <w:separator/>
      </w:r>
    </w:p>
  </w:endnote>
  <w:endnote w:type="continuationSeparator" w:id="0">
    <w:p w14:paraId="6C0984BA" w14:textId="77777777" w:rsidR="003D311B" w:rsidRDefault="003D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6B45" w14:textId="77777777" w:rsidR="00C920EC" w:rsidRDefault="00C920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585B" w14:textId="77777777" w:rsidR="003D311B" w:rsidRDefault="003D311B">
      <w:r>
        <w:separator/>
      </w:r>
    </w:p>
  </w:footnote>
  <w:footnote w:type="continuationSeparator" w:id="0">
    <w:p w14:paraId="3E543962" w14:textId="77777777" w:rsidR="003D311B" w:rsidRDefault="003D3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F142" w14:textId="77777777" w:rsidR="00C920EC" w:rsidRDefault="00D868DC">
    <w:pPr>
      <w:pStyle w:val="lfej"/>
      <w:rPr>
        <w:lang w:val="hu-HU"/>
      </w:rPr>
    </w:pPr>
    <w:r>
      <w:rPr>
        <w:noProof/>
        <w:lang w:val="hu-HU" w:eastAsia="hu-HU"/>
      </w:rPr>
      <w:drawing>
        <wp:anchor distT="0" distB="0" distL="114300" distR="114300" simplePos="0" relativeHeight="251659265" behindDoc="1" locked="0" layoutInCell="0" hidden="0" allowOverlap="1" wp14:anchorId="6EA1E5BE" wp14:editId="53F7934C">
          <wp:simplePos x="0" y="0"/>
          <wp:positionH relativeFrom="page">
            <wp:posOffset>10795</wp:posOffset>
          </wp:positionH>
          <wp:positionV relativeFrom="page">
            <wp:posOffset>12700</wp:posOffset>
          </wp:positionV>
          <wp:extent cx="7541895" cy="10674985"/>
          <wp:effectExtent l="0" t="0" r="0" b="0"/>
          <wp:wrapNone/>
          <wp:docPr id="1025" name="Pictur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15"/>
                  <pic:cNvPicPr>
                    <a:picLocks noChangeAspect="1"/>
                    <a:extLst>
                      <a:ext uri="smNativeData">
                        <sm:smNativeData xmlns:mo="http://schemas.microsoft.com/office/mac/office/2008/main" xmlns:mv="urn:schemas-microsoft-com:mac:vml" xmlns="" xmlns:o="urn:schemas-microsoft-com:office:office" xmlns:v="urn:schemas-microsoft-com:vml" xmlns:w10="urn:schemas-microsoft-com:office:word" xmlns:w="http://schemas.openxmlformats.org/wordprocessingml/2006/main" xmlns:sm="smNativeData" val="SMDATA_16_h6He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AAAACAAAAAAAAAAAQAAAAAAAAARAAAAAQAAAAAAAAAUAAAAZS4AAKtBAAAAAAAAEQAAABQAAAA="/>
                      </a:ext>
                    </a:extLst>
                  </pic:cNvPicPr>
                </pic:nvPicPr>
                <pic:blipFill>
                  <a:blip r:embed="rId1"/>
                  <a:stretch>
                    <a:fillRect/>
                  </a:stretch>
                </pic:blipFill>
                <pic:spPr>
                  <a:xfrm>
                    <a:off x="0" y="0"/>
                    <a:ext cx="7541895" cy="10674985"/>
                  </a:xfrm>
                  <a:prstGeom prst="rect">
                    <a:avLst/>
                  </a:prstGeom>
                  <a:noFill/>
                  <a:ln w="12700">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7D78"/>
    <w:multiLevelType w:val="hybridMultilevel"/>
    <w:tmpl w:val="86840D7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09E82E32"/>
    <w:multiLevelType w:val="hybridMultilevel"/>
    <w:tmpl w:val="83640C54"/>
    <w:lvl w:ilvl="0" w:tplc="2242C68C">
      <w:start w:val="1"/>
      <w:numFmt w:val="upperLetter"/>
      <w:lvlText w:val="%1."/>
      <w:lvlJc w:val="left"/>
      <w:pPr>
        <w:ind w:left="740" w:hanging="3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E9E5DF3"/>
    <w:multiLevelType w:val="hybridMultilevel"/>
    <w:tmpl w:val="6B5C1E8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F9B019E"/>
    <w:multiLevelType w:val="hybridMultilevel"/>
    <w:tmpl w:val="1108CBD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3504F93"/>
    <w:multiLevelType w:val="hybridMultilevel"/>
    <w:tmpl w:val="CA8AC18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90771FC"/>
    <w:multiLevelType w:val="hybridMultilevel"/>
    <w:tmpl w:val="A4B8C83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6050D27"/>
    <w:multiLevelType w:val="hybridMultilevel"/>
    <w:tmpl w:val="6F404C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AD25073"/>
    <w:multiLevelType w:val="hybridMultilevel"/>
    <w:tmpl w:val="4FC81B1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78C7C09"/>
    <w:multiLevelType w:val="hybridMultilevel"/>
    <w:tmpl w:val="F7A040B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DEB6D51"/>
    <w:multiLevelType w:val="hybridMultilevel"/>
    <w:tmpl w:val="12548C1A"/>
    <w:lvl w:ilvl="0" w:tplc="00609AE0">
      <w:start w:val="20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8"/>
  </w:num>
  <w:num w:numId="5">
    <w:abstractNumId w:val="4"/>
  </w:num>
  <w:num w:numId="6">
    <w:abstractNumId w:val="2"/>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20"/>
  <w:hyphenationZone w:val="425"/>
  <w:drawingGridHorizontalSpacing w:val="283"/>
  <w:drawingGridVerticalSpacing w:val="156"/>
  <w:characterSpacingControl w:val="doNotCompres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EC"/>
    <w:rsid w:val="00046807"/>
    <w:rsid w:val="00124CF0"/>
    <w:rsid w:val="00154D84"/>
    <w:rsid w:val="001605D7"/>
    <w:rsid w:val="001606B5"/>
    <w:rsid w:val="00163323"/>
    <w:rsid w:val="00173507"/>
    <w:rsid w:val="001D52A8"/>
    <w:rsid w:val="00233CE9"/>
    <w:rsid w:val="002354F8"/>
    <w:rsid w:val="0024520E"/>
    <w:rsid w:val="002D30F9"/>
    <w:rsid w:val="00354399"/>
    <w:rsid w:val="00381E4E"/>
    <w:rsid w:val="003D311B"/>
    <w:rsid w:val="003E1560"/>
    <w:rsid w:val="00473162"/>
    <w:rsid w:val="0048472A"/>
    <w:rsid w:val="004B65E3"/>
    <w:rsid w:val="004E3D68"/>
    <w:rsid w:val="0050678F"/>
    <w:rsid w:val="005510C3"/>
    <w:rsid w:val="005573CE"/>
    <w:rsid w:val="005C2AE1"/>
    <w:rsid w:val="006056E7"/>
    <w:rsid w:val="0061272A"/>
    <w:rsid w:val="00612B19"/>
    <w:rsid w:val="00631EFC"/>
    <w:rsid w:val="006A1CD7"/>
    <w:rsid w:val="006A5813"/>
    <w:rsid w:val="006C4BFE"/>
    <w:rsid w:val="006E2BBA"/>
    <w:rsid w:val="0071459E"/>
    <w:rsid w:val="0074363E"/>
    <w:rsid w:val="00772E61"/>
    <w:rsid w:val="00787F47"/>
    <w:rsid w:val="007A55B6"/>
    <w:rsid w:val="007B16B8"/>
    <w:rsid w:val="007B3043"/>
    <w:rsid w:val="007C09CE"/>
    <w:rsid w:val="007C1AEA"/>
    <w:rsid w:val="008768AC"/>
    <w:rsid w:val="00970CFB"/>
    <w:rsid w:val="009A43F7"/>
    <w:rsid w:val="009C5D26"/>
    <w:rsid w:val="009D1006"/>
    <w:rsid w:val="009D4D7F"/>
    <w:rsid w:val="009E13D2"/>
    <w:rsid w:val="00AD5F81"/>
    <w:rsid w:val="00B42265"/>
    <w:rsid w:val="00C920EC"/>
    <w:rsid w:val="00CB782F"/>
    <w:rsid w:val="00D868DC"/>
    <w:rsid w:val="00D95A7D"/>
    <w:rsid w:val="00DB6853"/>
    <w:rsid w:val="00E624C2"/>
    <w:rsid w:val="00E86E21"/>
    <w:rsid w:val="00EC438E"/>
    <w:rsid w:val="00ED1C17"/>
    <w:rsid w:val="00F3605C"/>
    <w:rsid w:val="00F362D9"/>
    <w:rsid w:val="00F36CC9"/>
    <w:rsid w:val="00F4623F"/>
    <w:rsid w:val="00F62EF3"/>
    <w:rsid w:val="00FA59E1"/>
    <w:rsid w:val="00FF4A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2E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cs="Arial"/>
      <w:sz w:val="23"/>
      <w:szCs w:val="23"/>
    </w:rPr>
  </w:style>
  <w:style w:type="paragraph" w:styleId="Cmsor1">
    <w:name w:val="heading 1"/>
    <w:basedOn w:val="Norml"/>
    <w:next w:val="Norml"/>
    <w:qFormat/>
    <w:pPr>
      <w:keepNext/>
      <w:keepLines/>
      <w:outlineLvl w:val="0"/>
    </w:pPr>
    <w:rPr>
      <w:b/>
      <w:bCs/>
      <w:color w:val="007C32"/>
      <w:sz w:val="32"/>
      <w:szCs w:val="44"/>
    </w:rPr>
  </w:style>
  <w:style w:type="paragraph" w:styleId="Cmsor2">
    <w:name w:val="heading 2"/>
    <w:basedOn w:val="Norml"/>
    <w:next w:val="Norml"/>
    <w:qFormat/>
    <w:pPr>
      <w:keepNext/>
      <w:keepLines/>
      <w:spacing w:before="40"/>
      <w:outlineLvl w:val="1"/>
    </w:pPr>
    <w:rPr>
      <w:rFonts w:ascii="Calibri Light" w:eastAsia="Calibri Light" w:hAnsi="Calibri Light"/>
      <w:color w:val="000000"/>
      <w:sz w:val="26"/>
      <w:szCs w:val="26"/>
    </w:rPr>
  </w:style>
  <w:style w:type="paragraph" w:styleId="Cmsor3">
    <w:name w:val="heading 3"/>
    <w:basedOn w:val="Norml"/>
    <w:next w:val="Norml"/>
    <w:qFormat/>
    <w:pPr>
      <w:keepNext/>
      <w:keepLines/>
      <w:spacing w:before="40"/>
      <w:outlineLvl w:val="2"/>
    </w:pPr>
    <w:rPr>
      <w:rFonts w:ascii="Calibri Light" w:eastAsia="Calibri Light" w:hAnsi="Calibri Light"/>
      <w:color w:val="00000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qFormat/>
    <w:rPr>
      <w:rFonts w:ascii="Segoe UI" w:hAnsi="Segoe UI" w:cs="Segoe UI"/>
      <w:sz w:val="18"/>
      <w:szCs w:val="18"/>
    </w:rPr>
  </w:style>
  <w:style w:type="paragraph" w:styleId="llb">
    <w:name w:val="footer"/>
    <w:basedOn w:val="Norml"/>
    <w:qFormat/>
    <w:pPr>
      <w:tabs>
        <w:tab w:val="center" w:pos="4153"/>
        <w:tab w:val="right" w:pos="8306"/>
      </w:tabs>
    </w:pPr>
    <w:rPr>
      <w:sz w:val="18"/>
      <w:szCs w:val="18"/>
    </w:rPr>
  </w:style>
  <w:style w:type="paragraph" w:styleId="lfej">
    <w:name w:val="header"/>
    <w:basedOn w:val="Norml"/>
    <w:qFormat/>
    <w:pPr>
      <w:tabs>
        <w:tab w:val="center" w:pos="4153"/>
        <w:tab w:val="right" w:pos="8306"/>
      </w:tabs>
    </w:pPr>
    <w:rPr>
      <w:sz w:val="18"/>
      <w:szCs w:val="18"/>
    </w:rPr>
  </w:style>
  <w:style w:type="character" w:styleId="Kiemels2">
    <w:name w:val="Strong"/>
    <w:basedOn w:val="Bekezdsalapbettpusa"/>
    <w:rPr>
      <w:b/>
      <w:bCs/>
    </w:rPr>
  </w:style>
  <w:style w:type="character" w:customStyle="1" w:styleId="Heading2Char">
    <w:name w:val="Heading 2 Char"/>
    <w:basedOn w:val="Bekezdsalapbettpusa"/>
    <w:rPr>
      <w:rFonts w:ascii="Calibri Light" w:eastAsia="Calibri Light" w:hAnsi="Calibri Light"/>
      <w:color w:val="000000"/>
      <w:sz w:val="26"/>
      <w:szCs w:val="26"/>
      <w:lang w:eastAsia="zh-CN"/>
    </w:rPr>
  </w:style>
  <w:style w:type="character" w:customStyle="1" w:styleId="BalloonTextChar">
    <w:name w:val="Balloon Text Char"/>
    <w:basedOn w:val="Bekezdsalapbettpusa"/>
    <w:rPr>
      <w:rFonts w:ascii="Segoe UI" w:hAnsi="Segoe UI" w:cs="Segoe UI"/>
      <w:sz w:val="18"/>
      <w:szCs w:val="18"/>
      <w:lang w:eastAsia="zh-CN"/>
    </w:rPr>
  </w:style>
  <w:style w:type="character" w:customStyle="1" w:styleId="Heading3Char">
    <w:name w:val="Heading 3 Char"/>
    <w:basedOn w:val="Bekezdsalapbettpusa"/>
    <w:rPr>
      <w:rFonts w:ascii="Calibri Light" w:eastAsia="Calibri Light" w:hAnsi="Calibri Light"/>
      <w:color w:val="000000"/>
      <w:sz w:val="24"/>
      <w:szCs w:val="24"/>
      <w:lang w:eastAsia="zh-CN"/>
    </w:rPr>
  </w:style>
  <w:style w:type="paragraph" w:styleId="Listaszerbekezds">
    <w:name w:val="List Paragraph"/>
    <w:basedOn w:val="Norml"/>
    <w:uiPriority w:val="34"/>
    <w:qFormat/>
    <w:rsid w:val="00F62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5814">
      <w:bodyDiv w:val="1"/>
      <w:marLeft w:val="0"/>
      <w:marRight w:val="0"/>
      <w:marTop w:val="0"/>
      <w:marBottom w:val="0"/>
      <w:divBdr>
        <w:top w:val="none" w:sz="0" w:space="0" w:color="auto"/>
        <w:left w:val="none" w:sz="0" w:space="0" w:color="auto"/>
        <w:bottom w:val="none" w:sz="0" w:space="0" w:color="auto"/>
        <w:right w:val="none" w:sz="0" w:space="0" w:color="auto"/>
      </w:divBdr>
    </w:div>
    <w:div w:id="20971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Arial"/>
      </a:majorFont>
      <a:minorFont>
        <a:latin typeface="Calibri"/>
        <a:ea typeface="Calibri"/>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12200</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zrd</dc:creator>
  <cp:keywords/>
  <dc:description/>
  <cp:lastModifiedBy>Sándor-Csaba Pető</cp:lastModifiedBy>
  <cp:revision>2</cp:revision>
  <cp:lastPrinted>2022-01-13T08:22:00Z</cp:lastPrinted>
  <dcterms:created xsi:type="dcterms:W3CDTF">2022-01-13T10:10:00Z</dcterms:created>
  <dcterms:modified xsi:type="dcterms:W3CDTF">2022-01-13T10:10:00Z</dcterms:modified>
</cp:coreProperties>
</file>